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settings.xml" ContentType="application/vnd.openxmlformats-officedocument.wordprocessingml.settings+xml"/>
  <Override PartName="/word/_rels/header3.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media/image1.jpeg" ContentType="image/jpeg"/>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keepNext w:val="false"/>
        <w:keepLines w:val="false"/>
        <w:pageBreakBefore w:val="false"/>
        <w:widowControl w:val="false"/>
        <w:shd w:val="clear" w:fill="auto"/>
        <w:spacing w:lineRule="auto" w:line="240" w:before="0" w:after="0"/>
        <w:ind w:hanging="0" w:left="0" w:right="0"/>
        <w:jc w:val="left"/>
        <w:rPr/>
      </w:pPr>
      <w:r>
        <w:rPr/>
      </w:r>
    </w:p>
    <w:p>
      <w:pPr>
        <w:pStyle w:val="LO-normal"/>
        <w:keepNext w:val="false"/>
        <w:keepLines w:val="false"/>
        <w:pageBreakBefore w:val="false"/>
        <w:widowControl w:val="false"/>
        <w:shd w:val="clear" w:fill="auto"/>
        <w:spacing w:lineRule="auto" w:line="240" w:before="0" w:after="0"/>
        <w:ind w:hanging="0" w:left="0" w:right="0"/>
        <w:jc w:val="left"/>
        <w:rPr/>
      </w:pPr>
      <w:r>
        <w:rPr/>
      </w:r>
    </w:p>
    <w:p>
      <w:pPr>
        <w:pStyle w:val="LO-normal"/>
        <w:keepNext w:val="false"/>
        <w:keepLines w:val="false"/>
        <w:pageBreakBefore w:val="false"/>
        <w:widowControl w:val="false"/>
        <w:shd w:val="clear" w:fill="auto"/>
        <w:spacing w:lineRule="auto" w:line="276" w:before="0" w:after="0"/>
        <w:ind w:hanging="0" w:left="0" w:right="0"/>
        <w:jc w:val="center"/>
        <w:rPr>
          <w:b/>
          <w:i w:val="false"/>
          <w:i w:val="false"/>
          <w:caps w:val="false"/>
          <w:smallCaps w:val="false"/>
          <w:strike w:val="false"/>
          <w:dstrike w:val="false"/>
          <w:color w:val="000000"/>
          <w:position w:val="0"/>
          <w:sz w:val="24"/>
          <w:sz w:val="24"/>
          <w:szCs w:val="24"/>
          <w:u w:val="none"/>
          <w:shd w:fill="auto" w:val="clear"/>
          <w:vertAlign w:val="baseline"/>
        </w:rPr>
      </w:pPr>
      <w:r>
        <w:rPr>
          <w:b/>
          <w:i w:val="false"/>
          <w:caps w:val="false"/>
          <w:smallCaps w:val="false"/>
          <w:strike w:val="false"/>
          <w:dstrike w:val="false"/>
          <w:color w:val="000000"/>
          <w:position w:val="0"/>
          <w:sz w:val="24"/>
          <w:sz w:val="24"/>
          <w:szCs w:val="24"/>
          <w:u w:val="none"/>
          <w:shd w:fill="auto" w:val="clear"/>
          <w:vertAlign w:val="baseline"/>
        </w:rPr>
        <w:t xml:space="preserve">TERMO DE REFERÊNCIA </w:t>
      </w:r>
    </w:p>
    <w:p>
      <w:pPr>
        <w:pStyle w:val="LO-normal"/>
        <w:keepNext w:val="false"/>
        <w:keepLines w:val="false"/>
        <w:pageBreakBefore w:val="false"/>
        <w:widowControl w:val="false"/>
        <w:shd w:val="clear" w:fill="auto"/>
        <w:spacing w:lineRule="auto" w:line="276" w:before="0" w:after="0"/>
        <w:ind w:hanging="0" w:left="0" w:right="-6"/>
        <w:jc w:val="center"/>
        <w:rPr>
          <w:b/>
          <w:i w:val="false"/>
          <w:i w:val="false"/>
          <w:caps w:val="false"/>
          <w:smallCaps w:val="false"/>
          <w:strike w:val="false"/>
          <w:dstrike w:val="false"/>
          <w:color w:val="000000"/>
          <w:position w:val="0"/>
          <w:sz w:val="24"/>
          <w:sz w:val="24"/>
          <w:szCs w:val="24"/>
          <w:u w:val="none"/>
          <w:shd w:fill="auto" w:val="clear"/>
          <w:vertAlign w:val="baseline"/>
        </w:rPr>
      </w:pPr>
      <w:r>
        <w:rPr>
          <w:b/>
          <w:i w:val="false"/>
          <w:caps w:val="false"/>
          <w:smallCaps w:val="false"/>
          <w:strike w:val="false"/>
          <w:dstrike w:val="false"/>
          <w:color w:val="000000"/>
          <w:position w:val="0"/>
          <w:sz w:val="24"/>
          <w:sz w:val="24"/>
          <w:szCs w:val="24"/>
          <w:u w:val="none"/>
          <w:shd w:fill="auto" w:val="clear"/>
          <w:vertAlign w:val="baseline"/>
        </w:rPr>
        <w:t xml:space="preserve">Secretaria Municipal </w:t>
      </w:r>
      <w:r>
        <w:rPr>
          <w:b/>
          <w:sz w:val="24"/>
          <w:szCs w:val="24"/>
        </w:rPr>
        <w:t>de Saúde</w:t>
      </w:r>
      <w:r>
        <w:rPr>
          <w:b/>
          <w:i w:val="false"/>
          <w:caps w:val="false"/>
          <w:smallCaps w:val="false"/>
          <w:strike w:val="false"/>
          <w:dstrike w:val="false"/>
          <w:color w:val="000000"/>
          <w:position w:val="0"/>
          <w:sz w:val="24"/>
          <w:sz w:val="24"/>
          <w:szCs w:val="24"/>
          <w:u w:val="none"/>
          <w:shd w:fill="auto" w:val="clear"/>
          <w:vertAlign w:val="baseline"/>
        </w:rPr>
        <w:t xml:space="preserve"> </w:t>
      </w:r>
    </w:p>
    <w:p>
      <w:pPr>
        <w:pStyle w:val="LO-normal"/>
        <w:widowControl w:val="false"/>
        <w:shd w:val="clear" w:fill="auto"/>
        <w:spacing w:lineRule="auto" w:line="276" w:before="0" w:after="0"/>
        <w:ind w:hanging="0" w:left="0" w:right="-6"/>
        <w:jc w:val="center"/>
        <w:rPr>
          <w:b/>
          <w:i w:val="false"/>
          <w:i w:val="false"/>
          <w:caps w:val="false"/>
          <w:smallCaps w:val="false"/>
          <w:strike w:val="false"/>
          <w:dstrike w:val="false"/>
          <w:color w:val="000000"/>
          <w:position w:val="0"/>
          <w:sz w:val="24"/>
          <w:sz w:val="24"/>
          <w:szCs w:val="24"/>
          <w:u w:val="none"/>
          <w:shd w:fill="auto" w:val="clear"/>
          <w:vertAlign w:val="baseline"/>
        </w:rPr>
      </w:pPr>
      <w:r>
        <w:rPr>
          <w:i w:val="false"/>
          <w:caps w:val="false"/>
          <w:smallCaps w:val="false"/>
          <w:strike w:val="false"/>
          <w:dstrike w:val="false"/>
          <w:color w:val="000000"/>
          <w:position w:val="0"/>
          <w:sz w:val="24"/>
          <w:sz w:val="24"/>
          <w:szCs w:val="24"/>
          <w:u w:val="none"/>
          <w:shd w:fill="auto" w:val="clear"/>
          <w:vertAlign w:val="baseline"/>
        </w:rPr>
        <w:t xml:space="preserve">(Processo Administrativo n° 69769/2025 e 76005/2025) </w:t>
      </w:r>
    </w:p>
    <w:p>
      <w:pPr>
        <w:pStyle w:val="LO-normal"/>
        <w:keepNext w:val="false"/>
        <w:keepLines w:val="false"/>
        <w:pageBreakBefore w:val="false"/>
        <w:widowControl w:val="false"/>
        <w:shd w:val="clear" w:fill="auto"/>
        <w:spacing w:lineRule="auto" w:line="276" w:before="0" w:after="0"/>
        <w:ind w:hanging="0" w:left="0" w:right="3404"/>
        <w:jc w:val="right"/>
        <w:rPr/>
      </w:pPr>
      <w:r>
        <w:rPr/>
      </w:r>
    </w:p>
    <w:p>
      <w:pPr>
        <w:pStyle w:val="LO-normal"/>
        <w:keepNext w:val="false"/>
        <w:keepLines w:val="false"/>
        <w:pageBreakBefore w:val="false"/>
        <w:widowControl w:val="false"/>
        <w:shd w:val="clear" w:fill="auto"/>
        <w:spacing w:lineRule="auto" w:line="360" w:before="353" w:after="0"/>
        <w:ind w:firstLine="154" w:left="1286" w:right="0"/>
        <w:jc w:val="left"/>
        <w:rPr>
          <w:b/>
          <w:i w:val="false"/>
          <w:i w:val="false"/>
          <w:caps w:val="false"/>
          <w:smallCaps w:val="false"/>
          <w:strike w:val="false"/>
          <w:dstrike w:val="false"/>
          <w:color w:val="000000"/>
          <w:position w:val="0"/>
          <w:sz w:val="22"/>
          <w:sz w:val="22"/>
          <w:u w:val="none"/>
          <w:shd w:fill="auto" w:val="clear"/>
          <w:vertAlign w:val="baseline"/>
        </w:rPr>
      </w:pPr>
      <w:r>
        <w:rPr>
          <w:b/>
          <w:i w:val="false"/>
          <w:caps w:val="false"/>
          <w:smallCaps w:val="false"/>
          <w:strike w:val="false"/>
          <w:dstrike w:val="false"/>
          <w:color w:val="000000"/>
          <w:position w:val="0"/>
          <w:sz w:val="22"/>
          <w:sz w:val="22"/>
          <w:u w:val="none"/>
          <w:shd w:fill="auto" w:val="clear"/>
          <w:vertAlign w:val="baseline"/>
        </w:rPr>
        <w:t xml:space="preserve">1. CONDIÇÕES GERAIS DA CONTRATAÇÃO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rFonts w:eastAsia="Times New Roman" w:cs="Times New Roman" w:ascii="Times New Roman" w:hAnsi="Times New Roman"/>
          <w:sz w:val="24"/>
          <w:szCs w:val="24"/>
        </w:rPr>
        <w:t xml:space="preserve">1.1. </w:t>
      </w:r>
      <w:r>
        <w:rPr>
          <w:sz w:val="24"/>
          <w:szCs w:val="24"/>
        </w:rPr>
        <w:t xml:space="preserve">O presente estudo técnico visa embasar a abertura de Processo Licitatório na modalidade Registro de Preço para o período de 12 meses pela Secretaria Municipal de Saúde de Campo Largo para a contratação de uma empresa especializada em serviços de higienização têxtil hospitalar para atender a demanda da UPA Campo Largo e Serviço de Atendimento móvel de Urgência - SAMU e SIATE, realizando todas as etapas de processamento e higienização desde sua retirada até seu retorno. </w:t>
      </w:r>
    </w:p>
    <w:p>
      <w:pPr>
        <w:pStyle w:val="LO-normal"/>
        <w:keepNext w:val="false"/>
        <w:keepLines w:val="false"/>
        <w:pageBreakBefore w:val="false"/>
        <w:widowControl w:val="false"/>
        <w:shd w:val="clear" w:fill="auto"/>
        <w:spacing w:lineRule="auto" w:line="360"/>
        <w:ind w:hanging="0" w:left="951" w:right="28"/>
        <w:jc w:val="both"/>
        <w:rPr>
          <w:sz w:val="24"/>
          <w:szCs w:val="24"/>
        </w:rPr>
      </w:pPr>
      <w:r>
        <w:rPr>
          <w:sz w:val="24"/>
          <w:szCs w:val="24"/>
        </w:rPr>
        <w:t xml:space="preserve">Cabe ressaltar que a Unidade de Pronto Atendimento realiza em média 700 atendimentos dia, sendo que destes, grande parte dos pacientes necessitam permanecer em leito de observação de longa permanência que demanda o uso de enxoval hospitalar e a cada troca de paciente há necessidade de substituição por lençóis limpos e higienizados, evitando infecções cruzadas e seguindo os protocolos de Vigilância sanitária vigentes para controle das infecções hospitalares. A higienização têxtil garante a limpeza dos lençóis com condições ideais de reuso, higienicamente limpo e livre de microorganismos patogênicos que possam causar doença humana.   </w:t>
        <w:tab/>
      </w:r>
    </w:p>
    <w:p>
      <w:pPr>
        <w:pStyle w:val="LO-normal"/>
        <w:keepNext w:val="false"/>
        <w:keepLines w:val="false"/>
        <w:pageBreakBefore w:val="false"/>
        <w:widowControl w:val="false"/>
        <w:shd w:val="clear" w:fill="auto"/>
        <w:spacing w:lineRule="auto" w:line="360" w:before="0" w:after="0"/>
        <w:ind w:hanging="0" w:left="992" w:right="28"/>
        <w:jc w:val="both"/>
        <w:rPr>
          <w:sz w:val="24"/>
          <w:szCs w:val="24"/>
        </w:rPr>
      </w:pPr>
      <w:r>
        <w:rPr>
          <w:sz w:val="24"/>
          <w:szCs w:val="24"/>
        </w:rPr>
        <w:t>Inicialmente, é relevante mencionar que já existe um contrato para prestação de serviços de higienização têxtil hospitalar a qual atende a demanda da UPA, SAMU e SIATE do município de Campo Largo, o qual já foi renovado a quantidade de vezes permitida por lei. Diante dessa situação, não é possível a renovação do contrato atual, tornando premente a necessidade de um novo contrato para atender às demandas atuais e futuras da administração pública. Para suprir a falta de um serviço próprio visto que torna-se oneroso ao Município construir toda uma instalação dentro dos padrões exigidos pela Vigilância Sanitária e Contratação de servidores para atender a demanda deste serviço. Essa medida proativa garantirá a continuidade e eficiência nas operações de higienização têxtil hospitalar, assegurando que não haja comprometimento do fluxo regular das atividades da instituição.</w:t>
      </w:r>
    </w:p>
    <w:p>
      <w:pPr>
        <w:pStyle w:val="LO-normal"/>
        <w:widowControl w:val="false"/>
        <w:spacing w:lineRule="auto" w:line="264" w:before="151" w:after="0"/>
        <w:ind w:hanging="0" w:left="566" w:right="30"/>
        <w:jc w:val="both"/>
        <w:rPr>
          <w:rFonts w:ascii="Times New Roman" w:hAnsi="Times New Roman" w:eastAsia="Times New Roman" w:cs="Times New Roman"/>
          <w:highlight w:val="white"/>
        </w:rPr>
      </w:pPr>
      <w:r>
        <w:rPr>
          <w:rFonts w:eastAsia="Times New Roman" w:cs="Times New Roman" w:ascii="Times New Roman" w:hAnsi="Times New Roman"/>
          <w:b/>
          <w:sz w:val="28"/>
          <w:szCs w:val="28"/>
          <w:highlight w:val="white"/>
        </w:rPr>
        <w:t xml:space="preserve">TABELA - DESCRIÇÃO X ORÇAMENTOS : </w:t>
      </w:r>
    </w:p>
    <w:p>
      <w:pPr>
        <w:pStyle w:val="LO-normal"/>
        <w:widowControl w:val="false"/>
        <w:tabs>
          <w:tab w:val="clear" w:pos="720"/>
          <w:tab w:val="left" w:pos="980" w:leader="none"/>
        </w:tabs>
        <w:spacing w:lineRule="auto" w:line="240"/>
        <w:ind w:hanging="0" w:left="980"/>
        <w:rPr>
          <w:rFonts w:ascii="Times New Roman" w:hAnsi="Times New Roman" w:eastAsia="Times New Roman" w:cs="Times New Roman"/>
        </w:rPr>
      </w:pPr>
      <w:r>
        <w:rPr>
          <w:rFonts w:eastAsia="Times New Roman" w:cs="Times New Roman" w:ascii="Times New Roman" w:hAnsi="Times New Roman"/>
        </w:rPr>
      </w:r>
    </w:p>
    <w:tbl>
      <w:tblPr>
        <w:tblStyle w:val="Table1"/>
        <w:tblW w:w="8880" w:type="dxa"/>
        <w:jc w:val="left"/>
        <w:tblInd w:w="980" w:type="dxa"/>
        <w:tblLayout w:type="fixed"/>
        <w:tblCellMar>
          <w:top w:w="100" w:type="dxa"/>
          <w:left w:w="100" w:type="dxa"/>
          <w:bottom w:w="100" w:type="dxa"/>
          <w:right w:w="100" w:type="dxa"/>
        </w:tblCellMar>
        <w:tblLook w:val="0600"/>
      </w:tblPr>
      <w:tblGrid>
        <w:gridCol w:w="1170"/>
        <w:gridCol w:w="2880"/>
        <w:gridCol w:w="1005"/>
        <w:gridCol w:w="1110"/>
        <w:gridCol w:w="1081"/>
        <w:gridCol w:w="1633"/>
      </w:tblGrid>
      <w:tr>
        <w:trPr/>
        <w:tc>
          <w:tcPr>
            <w:tcW w:w="1170" w:type="dxa"/>
            <w:tcBorders>
              <w:top w:val="single" w:sz="8" w:space="0" w:color="000000"/>
              <w:left w:val="single" w:sz="8" w:space="0" w:color="000000"/>
              <w:bottom w:val="single" w:sz="8" w:space="0" w:color="000000"/>
              <w:right w:val="single" w:sz="8" w:space="0" w:color="000000"/>
            </w:tcBorders>
            <w:shd w:fill="A2C4C9" w:val="clear"/>
          </w:tcPr>
          <w:p>
            <w:pPr>
              <w:pStyle w:val="LO-normal"/>
              <w:widowControl w:val="false"/>
              <w:spacing w:lineRule="auto" w:line="240"/>
              <w:jc w:val="center"/>
              <w:rPr>
                <w:rFonts w:ascii="Times New Roman" w:hAnsi="Times New Roman" w:eastAsia="Times New Roman" w:cs="Times New Roman"/>
                <w:b/>
                <w:sz w:val="18"/>
                <w:szCs w:val="18"/>
              </w:rPr>
            </w:pPr>
            <w:sdt>
              <w:sdtPr>
                <w:tag w:val="goog_rdk_0"/>
                <w:id w:val="2117357989"/>
                <w:lock w:val="contentLocked"/>
                <w:text/>
              </w:sdtPr>
              <w:sdtContent>
                <w:r>
                  <w:rPr>
                    <w:rFonts w:eastAsia="Times New Roman" w:cs="Times New Roman" w:ascii="Times New Roman" w:hAnsi="Times New Roman"/>
                    <w:b/>
                    <w:sz w:val="18"/>
                    <w:szCs w:val="18"/>
                  </w:rPr>
                </w:r>
                <w:r>
                  <w:rPr>
                    <w:rFonts w:eastAsia="Times New Roman" w:cs="Times New Roman" w:ascii="Times New Roman" w:hAnsi="Times New Roman"/>
                    <w:b/>
                    <w:sz w:val="18"/>
                    <w:szCs w:val="18"/>
                  </w:rPr>
                  <w:t>CÓDIGO</w:t>
                </w:r>
              </w:sdtContent>
            </w:sdt>
          </w:p>
        </w:tc>
        <w:tc>
          <w:tcPr>
            <w:tcW w:w="2880" w:type="dxa"/>
            <w:tcBorders>
              <w:top w:val="single" w:sz="8" w:space="0" w:color="000000"/>
              <w:left w:val="single" w:sz="8" w:space="0" w:color="000000"/>
              <w:bottom w:val="single" w:sz="8" w:space="0" w:color="000000"/>
              <w:right w:val="single" w:sz="8" w:space="0" w:color="000000"/>
            </w:tcBorders>
            <w:shd w:fill="A2C4C9" w:val="clear"/>
          </w:tcPr>
          <w:p>
            <w:pPr>
              <w:pStyle w:val="LO-normal"/>
              <w:widowControl w:val="false"/>
              <w:spacing w:lineRule="auto" w:line="240"/>
              <w:jc w:val="center"/>
              <w:rPr>
                <w:rFonts w:ascii="Times New Roman" w:hAnsi="Times New Roman" w:eastAsia="Times New Roman" w:cs="Times New Roman"/>
                <w:b/>
                <w:sz w:val="18"/>
                <w:szCs w:val="18"/>
              </w:rPr>
            </w:pPr>
            <w:r>
              <w:rPr>
                <w:rFonts w:eastAsia="Times New Roman" w:cs="Times New Roman" w:ascii="Times New Roman" w:hAnsi="Times New Roman"/>
                <w:b/>
                <w:sz w:val="18"/>
                <w:szCs w:val="18"/>
              </w:rPr>
              <w:t>PRODUTO</w:t>
            </w:r>
          </w:p>
        </w:tc>
        <w:tc>
          <w:tcPr>
            <w:tcW w:w="1005" w:type="dxa"/>
            <w:tcBorders>
              <w:top w:val="single" w:sz="8" w:space="0" w:color="000000"/>
              <w:left w:val="single" w:sz="8" w:space="0" w:color="000000"/>
              <w:bottom w:val="single" w:sz="8" w:space="0" w:color="000000"/>
              <w:right w:val="single" w:sz="8" w:space="0" w:color="000000"/>
            </w:tcBorders>
            <w:shd w:fill="A2C4C9" w:val="clear"/>
          </w:tcPr>
          <w:p>
            <w:pPr>
              <w:pStyle w:val="LO-normal"/>
              <w:widowControl w:val="false"/>
              <w:spacing w:lineRule="auto" w:line="240"/>
              <w:jc w:val="center"/>
              <w:rPr>
                <w:rFonts w:ascii="Times New Roman" w:hAnsi="Times New Roman" w:eastAsia="Times New Roman" w:cs="Times New Roman"/>
                <w:b/>
                <w:sz w:val="16"/>
                <w:szCs w:val="16"/>
              </w:rPr>
            </w:pPr>
            <w:r>
              <w:rPr>
                <w:rFonts w:eastAsia="Times New Roman" w:cs="Times New Roman" w:ascii="Times New Roman" w:hAnsi="Times New Roman"/>
                <w:b/>
                <w:sz w:val="16"/>
                <w:szCs w:val="16"/>
              </w:rPr>
              <w:t>UNIDADE DE MEDIDA</w:t>
            </w:r>
          </w:p>
        </w:tc>
        <w:tc>
          <w:tcPr>
            <w:tcW w:w="1110" w:type="dxa"/>
            <w:tcBorders>
              <w:top w:val="single" w:sz="8" w:space="0" w:color="000000"/>
              <w:left w:val="single" w:sz="8" w:space="0" w:color="000000"/>
              <w:bottom w:val="single" w:sz="8" w:space="0" w:color="000000"/>
              <w:right w:val="single" w:sz="8" w:space="0" w:color="000000"/>
            </w:tcBorders>
            <w:shd w:fill="A2C4C9" w:val="clear"/>
          </w:tcPr>
          <w:p>
            <w:pPr>
              <w:pStyle w:val="LO-normal"/>
              <w:widowControl w:val="false"/>
              <w:spacing w:lineRule="auto" w:line="240"/>
              <w:jc w:val="center"/>
              <w:rPr>
                <w:rFonts w:ascii="Times New Roman" w:hAnsi="Times New Roman" w:eastAsia="Times New Roman" w:cs="Times New Roman"/>
                <w:b/>
                <w:sz w:val="16"/>
                <w:szCs w:val="16"/>
              </w:rPr>
            </w:pPr>
            <w:r>
              <w:rPr>
                <w:rFonts w:eastAsia="Times New Roman" w:cs="Times New Roman" w:ascii="Times New Roman" w:hAnsi="Times New Roman"/>
                <w:b/>
                <w:sz w:val="16"/>
                <w:szCs w:val="16"/>
              </w:rPr>
              <w:t>QUANTID.</w:t>
            </w:r>
          </w:p>
        </w:tc>
        <w:tc>
          <w:tcPr>
            <w:tcW w:w="1081" w:type="dxa"/>
            <w:tcBorders>
              <w:top w:val="single" w:sz="8" w:space="0" w:color="000000"/>
              <w:left w:val="single" w:sz="8" w:space="0" w:color="000000"/>
              <w:bottom w:val="single" w:sz="8" w:space="0" w:color="000000"/>
              <w:right w:val="single" w:sz="8" w:space="0" w:color="000000"/>
            </w:tcBorders>
            <w:shd w:fill="A2C4C9" w:val="clear"/>
          </w:tcPr>
          <w:p>
            <w:pPr>
              <w:pStyle w:val="LO-normal"/>
              <w:widowControl w:val="false"/>
              <w:spacing w:lineRule="auto" w:line="240"/>
              <w:jc w:val="center"/>
              <w:rPr>
                <w:rFonts w:ascii="Times New Roman" w:hAnsi="Times New Roman" w:eastAsia="Times New Roman" w:cs="Times New Roman"/>
                <w:b/>
                <w:sz w:val="16"/>
                <w:szCs w:val="16"/>
              </w:rPr>
            </w:pPr>
            <w:r>
              <w:rPr>
                <w:rFonts w:eastAsia="Times New Roman" w:cs="Times New Roman" w:ascii="Times New Roman" w:hAnsi="Times New Roman"/>
                <w:b/>
                <w:sz w:val="16"/>
                <w:szCs w:val="16"/>
              </w:rPr>
              <w:t>MENOR VALOR</w:t>
            </w:r>
          </w:p>
        </w:tc>
        <w:tc>
          <w:tcPr>
            <w:tcW w:w="1633" w:type="dxa"/>
            <w:tcBorders>
              <w:top w:val="single" w:sz="8" w:space="0" w:color="000000"/>
              <w:left w:val="single" w:sz="8" w:space="0" w:color="000000"/>
              <w:bottom w:val="single" w:sz="8" w:space="0" w:color="000000"/>
              <w:right w:val="single" w:sz="8" w:space="0" w:color="000000"/>
            </w:tcBorders>
            <w:shd w:fill="A2C4C9" w:val="clear"/>
          </w:tcPr>
          <w:p>
            <w:pPr>
              <w:pStyle w:val="LO-normal"/>
              <w:widowControl w:val="false"/>
              <w:spacing w:lineRule="auto" w:line="240"/>
              <w:ind w:right="-122"/>
              <w:rPr>
                <w:rFonts w:ascii="Times New Roman" w:hAnsi="Times New Roman" w:eastAsia="Times New Roman" w:cs="Times New Roman"/>
                <w:b/>
                <w:sz w:val="16"/>
                <w:szCs w:val="16"/>
              </w:rPr>
            </w:pPr>
            <w:r>
              <w:rPr>
                <w:rFonts w:eastAsia="Times New Roman" w:cs="Times New Roman" w:ascii="Times New Roman" w:hAnsi="Times New Roman"/>
                <w:b/>
                <w:sz w:val="16"/>
                <w:szCs w:val="16"/>
              </w:rPr>
              <w:t>VALOR TOTAL</w:t>
            </w:r>
          </w:p>
        </w:tc>
      </w:tr>
      <w:tr>
        <w:trPr/>
        <w:tc>
          <w:tcPr>
            <w:tcW w:w="117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pPr>
              <w:pStyle w:val="LO-normal"/>
              <w:widowControl w:val="false"/>
              <w:jc w:val="center"/>
              <w:rPr>
                <w:rFonts w:ascii="Times New Roman" w:hAnsi="Times New Roman" w:eastAsia="Times New Roman" w:cs="Times New Roman"/>
                <w:sz w:val="20"/>
                <w:szCs w:val="20"/>
              </w:rPr>
            </w:pPr>
            <w:r>
              <w:rPr>
                <w:rFonts w:eastAsia="Times New Roman" w:cs="Times New Roman" w:ascii="Times New Roman" w:hAnsi="Times New Roman"/>
                <w:color w:val="1F1F1F"/>
                <w:sz w:val="20"/>
                <w:szCs w:val="20"/>
              </w:rPr>
              <w:t>117497</w:t>
            </w:r>
          </w:p>
        </w:tc>
        <w:tc>
          <w:tcPr>
            <w:tcW w:w="288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pPr>
              <w:pStyle w:val="LO-normal"/>
              <w:widowControl w:val="false"/>
              <w:jc w:val="center"/>
              <w:rPr>
                <w:rFonts w:ascii="Times New Roman" w:hAnsi="Times New Roman" w:eastAsia="Times New Roman" w:cs="Times New Roman"/>
                <w:color w:val="1F1F1F"/>
                <w:sz w:val="17"/>
                <w:szCs w:val="17"/>
              </w:rPr>
            </w:pPr>
            <w:r>
              <w:rPr>
                <w:rFonts w:eastAsia="Times New Roman" w:cs="Times New Roman" w:ascii="Times New Roman" w:hAnsi="Times New Roman"/>
                <w:color w:val="1F1F1F"/>
                <w:sz w:val="17"/>
                <w:szCs w:val="17"/>
              </w:rPr>
              <w:t>SERVIÇO DE HIGIENIZAÇÃO TÊXTIL HOSPITALAR- COLETA E</w:t>
            </w:r>
          </w:p>
          <w:p>
            <w:pPr>
              <w:pStyle w:val="LO-normal"/>
              <w:widowControl w:val="false"/>
              <w:jc w:val="center"/>
              <w:rPr>
                <w:rFonts w:ascii="Times New Roman" w:hAnsi="Times New Roman" w:eastAsia="Times New Roman" w:cs="Times New Roman"/>
                <w:sz w:val="20"/>
                <w:szCs w:val="20"/>
              </w:rPr>
            </w:pPr>
            <w:r>
              <w:rPr>
                <w:rFonts w:eastAsia="Times New Roman" w:cs="Times New Roman" w:ascii="Times New Roman" w:hAnsi="Times New Roman"/>
                <w:color w:val="1F1F1F"/>
                <w:sz w:val="17"/>
                <w:szCs w:val="17"/>
              </w:rPr>
              <w:t>ENTREGA DE ENXOVAL HOSPITALAR.</w:t>
            </w:r>
          </w:p>
        </w:tc>
        <w:tc>
          <w:tcPr>
            <w:tcW w:w="1005"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pPr>
              <w:pStyle w:val="LO-normal"/>
              <w:widowControl w:val="false"/>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t>kg</w:t>
            </w:r>
          </w:p>
        </w:tc>
        <w:tc>
          <w:tcPr>
            <w:tcW w:w="111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pPr>
              <w:pStyle w:val="LO-normal"/>
              <w:widowControl w:val="false"/>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t>25.000</w:t>
            </w:r>
          </w:p>
        </w:tc>
        <w:tc>
          <w:tcPr>
            <w:tcW w:w="108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pPr>
              <w:pStyle w:val="LO-normal"/>
              <w:widowControl w:val="false"/>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t>R$ 5,25</w:t>
            </w:r>
          </w:p>
        </w:tc>
        <w:tc>
          <w:tcPr>
            <w:tcW w:w="1633"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tcPr>
          <w:p>
            <w:pPr>
              <w:pStyle w:val="LO-normal"/>
              <w:widowControl w:val="false"/>
              <w:jc w:val="center"/>
              <w:rPr>
                <w:rFonts w:ascii="Times New Roman" w:hAnsi="Times New Roman" w:eastAsia="Times New Roman" w:cs="Times New Roman"/>
                <w:sz w:val="20"/>
                <w:szCs w:val="20"/>
              </w:rPr>
            </w:pPr>
            <w:r>
              <w:rPr>
                <w:rFonts w:eastAsia="Times New Roman" w:cs="Times New Roman" w:ascii="Times New Roman" w:hAnsi="Times New Roman"/>
                <w:sz w:val="20"/>
                <w:szCs w:val="20"/>
              </w:rPr>
              <w:t>R$ 131.250,00</w:t>
            </w:r>
          </w:p>
        </w:tc>
      </w:tr>
    </w:tbl>
    <w:p>
      <w:pPr>
        <w:pStyle w:val="LO-normal"/>
        <w:keepNext w:val="false"/>
        <w:keepLines w:val="false"/>
        <w:pageBreakBefore w:val="false"/>
        <w:widowControl w:val="false"/>
        <w:shd w:val="clear" w:fill="auto"/>
        <w:spacing w:lineRule="auto" w:line="276" w:before="0" w:after="0"/>
        <w:ind w:hanging="0" w:left="0" w:right="0"/>
        <w:jc w:val="left"/>
        <w:rPr>
          <w:rFonts w:ascii="Times New Roman" w:hAnsi="Times New Roman" w:eastAsia="Times New Roman" w:cs="Times New Roman"/>
          <w:sz w:val="24"/>
          <w:szCs w:val="24"/>
          <w:highlight w:val="white"/>
        </w:rPr>
      </w:pPr>
      <w:r>
        <w:rPr>
          <w:rFonts w:eastAsia="Times New Roman" w:cs="Times New Roman" w:ascii="Times New Roman" w:hAnsi="Times New Roman"/>
          <w:sz w:val="24"/>
          <w:szCs w:val="24"/>
          <w:highlight w:val="white"/>
        </w:rPr>
      </w:r>
    </w:p>
    <w:p>
      <w:pPr>
        <w:pStyle w:val="LO-normal"/>
        <w:keepNext w:val="false"/>
        <w:keepLines w:val="false"/>
        <w:widowControl w:val="false"/>
        <w:shd w:val="clear" w:fill="auto"/>
        <w:spacing w:lineRule="auto" w:line="360" w:before="0" w:after="0"/>
        <w:ind w:hanging="687" w:left="951" w:right="2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keepNext w:val="false"/>
        <w:keepLines w:val="false"/>
        <w:widowControl w:val="false"/>
        <w:shd w:val="clear" w:fill="auto"/>
        <w:spacing w:lineRule="auto" w:line="360" w:before="0" w:after="0"/>
        <w:ind w:hanging="0" w:left="850" w:right="28"/>
        <w:jc w:val="both"/>
        <w:rPr>
          <w:sz w:val="24"/>
          <w:szCs w:val="24"/>
        </w:rPr>
      </w:pPr>
      <w:r>
        <w:rPr>
          <w:sz w:val="24"/>
          <w:szCs w:val="24"/>
        </w:rPr>
        <w:t xml:space="preserve">1.2. Os bens objeto desta contratação são caracterizados como comuns, conforme justificativa constante do Estudo Técnico Preliminar. </w:t>
      </w:r>
    </w:p>
    <w:p>
      <w:pPr>
        <w:pStyle w:val="LO-normal"/>
        <w:keepNext w:val="false"/>
        <w:keepLines w:val="false"/>
        <w:pageBreakBefore w:val="false"/>
        <w:widowControl w:val="false"/>
        <w:shd w:val="clear" w:fill="auto"/>
        <w:spacing w:lineRule="auto" w:line="360" w:before="0" w:after="0"/>
        <w:ind w:hanging="0" w:left="850" w:right="34"/>
        <w:jc w:val="both"/>
        <w:rPr>
          <w:sz w:val="24"/>
          <w:szCs w:val="24"/>
        </w:rPr>
      </w:pPr>
      <w:r>
        <w:rPr>
          <w:sz w:val="24"/>
          <w:szCs w:val="24"/>
        </w:rPr>
        <w:t xml:space="preserve">1.3. O objeto desta contratação não se enquadra como sendo de bem de luxo, conforme Decreto nº 10.818, de 27 de setembro de 2021. </w:t>
      </w:r>
    </w:p>
    <w:p>
      <w:pPr>
        <w:pStyle w:val="LO-normal"/>
        <w:keepNext w:val="false"/>
        <w:keepLines w:val="false"/>
        <w:pageBreakBefore w:val="false"/>
        <w:widowControl w:val="false"/>
        <w:shd w:val="clear" w:fill="auto"/>
        <w:spacing w:lineRule="auto" w:line="360" w:before="0" w:after="0"/>
        <w:ind w:hanging="0" w:left="850" w:right="28"/>
        <w:jc w:val="both"/>
        <w:rPr>
          <w:sz w:val="24"/>
          <w:szCs w:val="24"/>
        </w:rPr>
      </w:pPr>
      <w:r>
        <w:rPr>
          <w:sz w:val="24"/>
          <w:szCs w:val="24"/>
        </w:rPr>
        <w:t xml:space="preserve">1.4. O prazo de vigência da contratação ocorrerá através de Registro de Preços com vigência de 12 meses (doze) contados a partir da assinatura do Contrato, conforme art. 6º da lei 14133/2021, podendo ser renovado pelo prazo de mais 120 meses. </w:t>
      </w:r>
    </w:p>
    <w:p>
      <w:pPr>
        <w:pStyle w:val="LO-normal"/>
        <w:keepNext w:val="false"/>
        <w:keepLines w:val="false"/>
        <w:pageBreakBefore w:val="false"/>
        <w:widowControl w:val="false"/>
        <w:shd w:val="clear" w:fill="auto"/>
        <w:spacing w:lineRule="auto" w:line="360" w:before="0" w:after="0"/>
        <w:ind w:hanging="0" w:left="850" w:right="28"/>
        <w:jc w:val="both"/>
        <w:rPr>
          <w:sz w:val="24"/>
          <w:szCs w:val="24"/>
        </w:rPr>
      </w:pPr>
      <w:r>
        <w:rPr>
          <w:sz w:val="24"/>
          <w:szCs w:val="24"/>
        </w:rPr>
        <w:t xml:space="preserve">1.5. O contrato oferece maior detalhamento das regras que serão aplicadas em relação à vigência da contratação. </w:t>
      </w:r>
    </w:p>
    <w:p>
      <w:pPr>
        <w:pStyle w:val="LO-normal"/>
        <w:keepNext w:val="false"/>
        <w:keepLines w:val="false"/>
        <w:pageBreakBefore w:val="false"/>
        <w:widowControl w:val="false"/>
        <w:shd w:val="clear" w:fill="auto"/>
        <w:spacing w:lineRule="auto" w:line="360" w:before="0" w:after="0"/>
        <w:ind w:hanging="688" w:left="951" w:right="28"/>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keepNext w:val="false"/>
        <w:keepLines w:val="false"/>
        <w:pageBreakBefore w:val="false"/>
        <w:widowControl w:val="false"/>
        <w:shd w:val="clear" w:fill="auto"/>
        <w:spacing w:lineRule="auto" w:line="360" w:before="0" w:after="0"/>
        <w:ind w:hanging="0" w:left="0" w:right="0"/>
        <w:jc w:val="both"/>
        <w:rPr>
          <w:b/>
        </w:rPr>
      </w:pPr>
      <w:r>
        <w:rPr>
          <w:b/>
        </w:rPr>
      </w:r>
    </w:p>
    <w:p>
      <w:pPr>
        <w:pStyle w:val="LO-normal"/>
        <w:keepNext w:val="false"/>
        <w:keepLines w:val="false"/>
        <w:pageBreakBefore w:val="false"/>
        <w:widowControl w:val="false"/>
        <w:shd w:val="clear" w:fill="auto"/>
        <w:spacing w:lineRule="auto" w:line="360" w:before="0" w:after="0"/>
        <w:ind w:hanging="0" w:left="0" w:right="0"/>
        <w:jc w:val="both"/>
        <w:rPr>
          <w:b/>
        </w:rPr>
      </w:pPr>
      <w:r>
        <w:rPr>
          <w:b/>
        </w:rPr>
      </w:r>
    </w:p>
    <w:p>
      <w:pPr>
        <w:pStyle w:val="LO-normal"/>
        <w:widowControl w:val="false"/>
        <w:shd w:val="clear" w:fill="auto"/>
        <w:spacing w:lineRule="auto" w:line="360" w:before="0" w:after="0"/>
        <w:ind w:hanging="0" w:left="0" w:right="0"/>
        <w:jc w:val="both"/>
        <w:rPr>
          <w:b/>
        </w:rPr>
      </w:pPr>
      <w:r>
        <w:rPr>
          <w:b/>
        </w:rPr>
      </w:r>
    </w:p>
    <w:p>
      <w:pPr>
        <w:pStyle w:val="LO-normal"/>
        <w:widowControl w:val="false"/>
        <w:shd w:val="clear" w:fill="auto"/>
        <w:spacing w:lineRule="auto" w:line="360" w:before="0" w:after="0"/>
        <w:ind w:hanging="0" w:left="0" w:right="0"/>
        <w:jc w:val="both"/>
        <w:rPr>
          <w:b/>
        </w:rPr>
      </w:pPr>
      <w:r>
        <w:rPr>
          <w:b/>
        </w:rPr>
      </w:r>
    </w:p>
    <w:p>
      <w:pPr>
        <w:pStyle w:val="LO-normal"/>
        <w:keepNext w:val="false"/>
        <w:keepLines w:val="false"/>
        <w:pageBreakBefore w:val="false"/>
        <w:widowControl w:val="false"/>
        <w:shd w:val="clear" w:fill="auto"/>
        <w:spacing w:lineRule="auto" w:line="360" w:before="0" w:after="0"/>
        <w:ind w:hanging="0" w:left="0" w:right="0"/>
        <w:jc w:val="both"/>
        <w:rPr>
          <w:b/>
        </w:rPr>
      </w:pPr>
      <w:r>
        <w:rPr>
          <w:b/>
        </w:rPr>
      </w:r>
    </w:p>
    <w:p>
      <w:pPr>
        <w:pStyle w:val="LO-normal"/>
        <w:keepNext w:val="false"/>
        <w:keepLines w:val="false"/>
        <w:pageBreakBefore w:val="false"/>
        <w:widowControl w:val="false"/>
        <w:shd w:val="clear" w:fill="auto"/>
        <w:spacing w:lineRule="auto" w:line="360" w:before="0" w:after="0"/>
        <w:ind w:firstLine="476" w:left="964" w:right="0"/>
        <w:jc w:val="left"/>
        <w:rPr>
          <w:b/>
        </w:rPr>
      </w:pPr>
      <w:r>
        <w:rPr>
          <w:b/>
        </w:rPr>
        <w:t xml:space="preserve">2. FUNDAMENTAÇÃO E DESCRIÇÃO DA NECESSIDADE DA CONTRATAÇÃO </w:t>
      </w:r>
    </w:p>
    <w:p>
      <w:pPr>
        <w:pStyle w:val="LO-normal"/>
        <w:keepNext w:val="false"/>
        <w:keepLines w:val="false"/>
        <w:pageBreakBefore w:val="false"/>
        <w:widowControl w:val="false"/>
        <w:shd w:val="clear" w:fill="auto"/>
        <w:spacing w:lineRule="auto" w:line="360" w:before="0" w:after="0"/>
        <w:ind w:hanging="0" w:left="244" w:right="0"/>
        <w:jc w:val="left"/>
        <w:rPr>
          <w:b/>
        </w:rPr>
      </w:pPr>
      <w:r>
        <w:rPr>
          <w:b/>
        </w:rPr>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 xml:space="preserve">2.1. A Fundamentação da Contratação e de seus quantitativos encontra-se pormenorizada em Tópico específico dos Estudos Técnicos Preliminares. </w:t>
      </w:r>
    </w:p>
    <w:p>
      <w:pPr>
        <w:pStyle w:val="LO-normal"/>
        <w:keepNext w:val="false"/>
        <w:keepLines w:val="false"/>
        <w:pageBreakBefore w:val="false"/>
        <w:widowControl w:val="false"/>
        <w:shd w:val="clear" w:fill="auto"/>
        <w:spacing w:lineRule="auto" w:line="360" w:before="0" w:after="0"/>
        <w:ind w:hanging="688" w:left="951" w:right="28"/>
        <w:jc w:val="both"/>
        <w:rPr>
          <w:sz w:val="24"/>
          <w:szCs w:val="24"/>
        </w:rPr>
      </w:pPr>
      <w:r>
        <w:rPr>
          <w:sz w:val="24"/>
          <w:szCs w:val="24"/>
        </w:rPr>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 xml:space="preserve">2.2. A presente aquisição ocorrerá com recursos vinculados através da fonte 494. </w:t>
      </w:r>
    </w:p>
    <w:p>
      <w:pPr>
        <w:pStyle w:val="LO-normal"/>
        <w:keepNext w:val="false"/>
        <w:keepLines w:val="false"/>
        <w:pageBreakBefore w:val="false"/>
        <w:widowControl w:val="false"/>
        <w:shd w:val="clear" w:fill="auto"/>
        <w:spacing w:lineRule="auto" w:line="360" w:before="0" w:after="0"/>
        <w:ind w:hanging="688" w:left="951" w:right="28"/>
        <w:jc w:val="both"/>
        <w:rPr>
          <w:sz w:val="24"/>
          <w:szCs w:val="24"/>
        </w:rPr>
      </w:pPr>
      <w:r>
        <w:rPr>
          <w:sz w:val="24"/>
          <w:szCs w:val="24"/>
        </w:rPr>
        <w:t xml:space="preserve"> </w:t>
      </w:r>
    </w:p>
    <w:p>
      <w:pPr>
        <w:pStyle w:val="LO-normal"/>
        <w:keepNext w:val="false"/>
        <w:keepLines w:val="false"/>
        <w:pageBreakBefore w:val="false"/>
        <w:widowControl w:val="false"/>
        <w:shd w:val="clear" w:fill="auto"/>
        <w:spacing w:lineRule="auto" w:line="360" w:before="0" w:after="0"/>
        <w:ind w:hanging="705" w:left="948" w:right="10"/>
        <w:jc w:val="left"/>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LO-normal"/>
        <w:keepNext w:val="false"/>
        <w:keepLines w:val="false"/>
        <w:pageBreakBefore w:val="false"/>
        <w:widowControl w:val="false"/>
        <w:shd w:val="clear" w:fill="auto"/>
        <w:spacing w:lineRule="auto" w:line="360" w:before="0" w:after="0"/>
        <w:ind w:firstLine="476" w:left="964" w:right="0"/>
        <w:jc w:val="left"/>
        <w:rPr>
          <w:b/>
        </w:rPr>
      </w:pPr>
      <w:r>
        <w:rPr>
          <w:b/>
        </w:rPr>
        <w:t xml:space="preserve">3. DESCRIÇÃO DA SOLUÇÃO COMO UM TODO CONSIDERADO O CICLO DE VIDA DO OBJETO E ESPECIFICAÇÃO DO PRODUTO </w:t>
      </w:r>
    </w:p>
    <w:p>
      <w:pPr>
        <w:pStyle w:val="LO-normal"/>
        <w:keepNext w:val="false"/>
        <w:keepLines w:val="false"/>
        <w:pageBreakBefore w:val="false"/>
        <w:widowControl w:val="false"/>
        <w:shd w:val="clear" w:fill="auto"/>
        <w:spacing w:lineRule="auto" w:line="360" w:before="0" w:after="0"/>
        <w:ind w:hanging="705" w:left="948" w:right="10"/>
        <w:jc w:val="left"/>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LO-normal"/>
        <w:keepNext w:val="false"/>
        <w:keepLines w:val="false"/>
        <w:pageBreakBefore w:val="false"/>
        <w:widowControl w:val="false"/>
        <w:shd w:val="clear" w:fill="auto"/>
        <w:spacing w:lineRule="auto" w:line="360" w:before="0" w:after="0"/>
        <w:ind w:hanging="0" w:left="992" w:right="28"/>
        <w:jc w:val="both"/>
        <w:rPr>
          <w:sz w:val="24"/>
          <w:szCs w:val="24"/>
        </w:rPr>
      </w:pPr>
      <w:r>
        <w:rPr>
          <w:sz w:val="24"/>
          <w:szCs w:val="24"/>
        </w:rPr>
        <w:t>3.1. Esclarecemos que a contratação de uma empresa especializada em serviços de higienização têxtil hospitalar para atender a demanda da UPA Campo Largo e Serviço de Atendimento móvel de Urgência - SAMU e SIATE, realizando todas as etapas  de processamento  e higienização desde sua retirada até seu retorno.</w:t>
      </w:r>
    </w:p>
    <w:p>
      <w:pPr>
        <w:pStyle w:val="LO-normal"/>
        <w:keepNext w:val="false"/>
        <w:keepLines w:val="false"/>
        <w:pageBreakBefore w:val="false"/>
        <w:widowControl w:val="false"/>
        <w:shd w:val="clear" w:fill="auto"/>
        <w:spacing w:lineRule="auto" w:line="360" w:before="0" w:after="0"/>
        <w:ind w:hanging="688" w:left="1671" w:right="28"/>
        <w:jc w:val="both"/>
        <w:rPr>
          <w:sz w:val="24"/>
          <w:szCs w:val="24"/>
        </w:rPr>
      </w:pPr>
      <w:r>
        <w:rPr>
          <w:sz w:val="24"/>
          <w:szCs w:val="24"/>
        </w:rPr>
        <w:t>A Unidade de Pronto Atendimento realiza em média 700 atendimentos dia, sendo</w:t>
      </w:r>
    </w:p>
    <w:p>
      <w:pPr>
        <w:pStyle w:val="LO-normal"/>
        <w:keepNext w:val="false"/>
        <w:keepLines w:val="false"/>
        <w:pageBreakBefore w:val="false"/>
        <w:widowControl w:val="false"/>
        <w:shd w:val="clear" w:fill="auto"/>
        <w:spacing w:lineRule="auto" w:line="360" w:before="0" w:after="0"/>
        <w:ind w:hanging="0" w:left="992" w:right="28"/>
        <w:jc w:val="both"/>
        <w:rPr>
          <w:sz w:val="24"/>
          <w:szCs w:val="24"/>
        </w:rPr>
      </w:pPr>
      <w:r>
        <w:rPr>
          <w:sz w:val="24"/>
          <w:szCs w:val="24"/>
        </w:rPr>
        <w:t xml:space="preserve">que destes grande parte dos pacientes necessitam permanecer em leito de observação de longa permanência que demanda o uso de enxoval hospitalar e a cada troca de paciente há necessidade de substituição por lençóis limpos e higienizados, evitando infecções cruzadas e seguindo os protocolos de Vigilância sanitária vigentes para controle das infecções hospitalares. </w:t>
        <w:tab/>
        <w:t xml:space="preserve">A higienização têxtil garante a limpeza dos lençóis com condições ideais de reuso, higienicamente limpo e livre de microorganismos patogênicos que possam causar doença humana.   </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 xml:space="preserve">Como o fluxo de pacientes é elevado, não é viável a utilização de produtos descartáveis, pois os lençóis descartáveis, embora possam ser utilizados em procedimentos pontuais, não são adequados para uso contínuo em ambientes hospitalares, principalmente que exijam observação prolongada de pacientes no Pronto atendimento. Além disso, apresentam baixa resistência mecânica, o que favorece os rasgos durante a utilização, causam desconforto térmico ao paciente e acarreta alto custo operacional devido à necessidade de reposição frequente. Considerando que, geram maior volume de resíduos hospitalares, impactando negativamente tanto na gestão ambiental quanto nos custos de descarte adequado. Ademais, os materiais descartáveis não se ajustam adequadamente às camas hospitalares, sendo seu uso recomendado apenas em ambientes ambulatoriais e de curta permanência, onde a rotatividade é elevada e a permanência do paciente é breve.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Outro aspecto relevante é a inexistência de um serviço próprio com tal finalidade na estrutura administrativa da Prefeitura de Campo Largo. Tal decisão impacta na capacidade de reposição do enxoval hospitalar para esses serviços de atendimento 24 horas do Município, tornando imperativa a terceirização para garantir a continuidade e a qualidade dos serviços de higienização Têxtil hospitalar prestados aos locais da administração municipal e conveniada. Essas circunstâncias reforçam a necessidade urgente de um processo seletivo para a contratação de serviços de higienização têxtil hospitalar, visando garantir a continuidade dos serviços prestados pela administração pública local, de forma ágil, eficiente e em conformidade com as normas vigentes.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Portanto, justifica-se a imprescindibilidade de contratar uma pessoa jurídica especializada para fornecer serviços contínuos de apoio operacional, com dedicação exclusiva de serviços de Higienização Têxtil Hospitalar.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Informamos que o material textil a ser processado é composto por: lençóis, cobertores, fronhas, campos cirúrgicos, compressas cirúrgicas, pijamas cirurgicos, faixas de contenção, bandagens, roupas de pacientes em observação longa por mais de 48 horas que não conta com familiares ou responsáveis.</w:t>
      </w:r>
    </w:p>
    <w:p>
      <w:pPr>
        <w:pStyle w:val="LO-normal"/>
        <w:keepNext w:val="false"/>
        <w:keepLines w:val="false"/>
        <w:pageBreakBefore w:val="false"/>
        <w:widowControl w:val="false"/>
        <w:shd w:val="clear" w:fill="auto"/>
        <w:spacing w:lineRule="auto" w:line="360" w:before="0" w:after="0"/>
        <w:ind w:hanging="688" w:left="951" w:right="28"/>
        <w:jc w:val="both"/>
        <w:rPr>
          <w:sz w:val="24"/>
          <w:szCs w:val="24"/>
        </w:rPr>
      </w:pPr>
      <w:r>
        <w:rPr>
          <w:sz w:val="24"/>
          <w:szCs w:val="24"/>
        </w:rPr>
      </w:r>
    </w:p>
    <w:p>
      <w:pPr>
        <w:pStyle w:val="LO-normal"/>
        <w:keepNext w:val="false"/>
        <w:keepLines w:val="false"/>
        <w:pageBreakBefore w:val="false"/>
        <w:widowControl w:val="false"/>
        <w:shd w:val="clear" w:fill="auto"/>
        <w:spacing w:lineRule="auto" w:line="360" w:before="0" w:after="0"/>
        <w:ind w:hanging="688" w:left="951" w:right="28"/>
        <w:jc w:val="both"/>
        <w:rPr>
          <w:sz w:val="24"/>
          <w:szCs w:val="24"/>
        </w:rPr>
      </w:pPr>
      <w:r>
        <w:rPr>
          <w:sz w:val="24"/>
          <w:szCs w:val="24"/>
        </w:rPr>
      </w:r>
    </w:p>
    <w:p>
      <w:pPr>
        <w:pStyle w:val="LO-normal"/>
        <w:keepNext w:val="false"/>
        <w:keepLines w:val="false"/>
        <w:pageBreakBefore w:val="false"/>
        <w:widowControl w:val="false"/>
        <w:shd w:val="clear" w:fill="auto"/>
        <w:spacing w:lineRule="auto" w:line="360" w:before="0" w:after="0"/>
        <w:ind w:hanging="688" w:left="951" w:right="28"/>
        <w:jc w:val="both"/>
        <w:rPr>
          <w:sz w:val="24"/>
          <w:szCs w:val="24"/>
        </w:rPr>
      </w:pPr>
      <w:r>
        <w:rPr>
          <w:sz w:val="24"/>
          <w:szCs w:val="24"/>
        </w:rPr>
      </w:r>
    </w:p>
    <w:p>
      <w:pPr>
        <w:pStyle w:val="LO-normal"/>
        <w:widowControl w:val="false"/>
        <w:shd w:val="clear" w:fill="auto"/>
        <w:spacing w:lineRule="auto" w:line="360" w:before="0" w:after="0"/>
        <w:ind w:hanging="688" w:left="951" w:right="28"/>
        <w:jc w:val="both"/>
        <w:rPr>
          <w:sz w:val="24"/>
          <w:szCs w:val="24"/>
        </w:rPr>
      </w:pPr>
      <w:r>
        <w:rPr>
          <w:sz w:val="24"/>
          <w:szCs w:val="24"/>
        </w:rPr>
      </w:r>
    </w:p>
    <w:p>
      <w:pPr>
        <w:pStyle w:val="LO-normal"/>
        <w:keepNext w:val="false"/>
        <w:keepLines w:val="false"/>
        <w:pageBreakBefore w:val="false"/>
        <w:widowControl w:val="false"/>
        <w:shd w:val="clear" w:fill="auto"/>
        <w:spacing w:lineRule="auto" w:line="276" w:before="0" w:after="0"/>
        <w:ind w:hanging="685" w:left="948" w:right="31"/>
        <w:jc w:val="both"/>
        <w:rPr>
          <w:rFonts w:ascii="Times New Roman" w:hAnsi="Times New Roman" w:eastAsia="Times New Roman" w:cs="Times New Roman"/>
        </w:rPr>
      </w:pPr>
      <w:r>
        <w:rPr>
          <w:rFonts w:eastAsia="Times New Roman" w:cs="Times New Roman" w:ascii="Times New Roman" w:hAnsi="Times New Roman"/>
        </w:rPr>
      </w:r>
    </w:p>
    <w:p>
      <w:pPr>
        <w:pStyle w:val="LO-normal"/>
        <w:widowControl w:val="false"/>
        <w:spacing w:lineRule="auto" w:line="276" w:before="0" w:after="0"/>
        <w:ind w:hanging="0" w:left="566" w:right="120"/>
        <w:jc w:val="both"/>
        <w:rPr>
          <w:rFonts w:ascii="Times New Roman" w:hAnsi="Times New Roman" w:eastAsia="Times New Roman" w:cs="Times New Roman"/>
          <w:highlight w:val="white"/>
        </w:rPr>
      </w:pPr>
      <w:r>
        <w:rPr>
          <w:rFonts w:eastAsia="Times New Roman" w:cs="Times New Roman" w:ascii="Times New Roman" w:hAnsi="Times New Roman"/>
          <w:highlight w:val="white"/>
        </w:rPr>
      </w:r>
    </w:p>
    <w:p>
      <w:pPr>
        <w:pStyle w:val="LO-normal"/>
        <w:keepNext w:val="false"/>
        <w:keepLines w:val="false"/>
        <w:pageBreakBefore w:val="false"/>
        <w:widowControl w:val="false"/>
        <w:shd w:val="clear" w:fill="auto"/>
        <w:spacing w:lineRule="auto" w:line="360" w:before="0" w:after="0"/>
        <w:ind w:firstLine="476" w:left="964" w:right="0"/>
        <w:jc w:val="left"/>
        <w:rPr>
          <w:b/>
        </w:rPr>
      </w:pPr>
      <w:r>
        <w:rPr>
          <w:b/>
        </w:rPr>
        <w:t xml:space="preserve">4. REQUISITOS DA CONTRATAÇÃO </w:t>
      </w:r>
    </w:p>
    <w:p>
      <w:pPr>
        <w:pStyle w:val="LO-normal"/>
        <w:keepNext w:val="false"/>
        <w:keepLines w:val="false"/>
        <w:pageBreakBefore w:val="false"/>
        <w:widowControl w:val="false"/>
        <w:shd w:val="clear" w:fill="auto"/>
        <w:spacing w:lineRule="auto" w:line="360" w:before="0" w:after="0"/>
        <w:ind w:hanging="0" w:left="955" w:right="0"/>
        <w:jc w:val="left"/>
        <w:rPr>
          <w:rFonts w:ascii="Times New Roman" w:hAnsi="Times New Roman" w:eastAsia="Times New Roman" w:cs="Times New Roman"/>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Sustentabilidade: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4.1 Além dos critérios de sustentabilidade eventualmente inseridos na descrição do objeto, devem ser atendidos os seguintes requisitos, que se baseiam no Guia Nacional de Contratações Sustentáveis: Referente à sustentabilidade ambiental, para o fornecimento dos materiais, objeto deste estudo técnico preliminar, a contratada deverá observar, no que couber, os critérios de sustentabilidade ambiental. Referente à embalagem dos materiais, sempre que possível, os mesmos deverão ser acondicionados em materiais 100% recicláveis e em quantidade reduzida de volumes;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A empresa deverá entregar o material embalado com critérios socioambientais vigentes decorrentes da Lei nº 6.938/81 e regulamentos, com os respectivos registros e comprovações oficiais, além de atentar para as exigências da Política de Resíduos Sólidos.</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Dessa forma,  em conformidade com a Política Nacional de Resíduos Sólidos, a Administração obedecerá ao disposto na legislação específica que trata do desfazimento de bens da Administração Pública, após o fim da sua vida útil, mediante o devido procedimento administrativo.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A contratada deverá adotar práticas de sustentabilidade na execução dos serviços, em conformidade às Legislações brasileiras referente à sustentabilidade.</w:t>
      </w:r>
    </w:p>
    <w:p>
      <w:pPr>
        <w:pStyle w:val="LO-normal"/>
        <w:keepNext w:val="false"/>
        <w:keepLines w:val="false"/>
        <w:pageBreakBefore w:val="false"/>
        <w:widowControl w:val="false"/>
        <w:shd w:val="clear" w:fill="auto"/>
        <w:spacing w:lineRule="auto" w:line="360" w:before="0" w:after="0"/>
        <w:ind w:hanging="687" w:left="1671" w:right="28"/>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t xml:space="preserve">Indicação de marcas ou modelos (Art. 41, inciso I, da Lei nº 14.133, de 2021): </w:t>
      </w:r>
    </w:p>
    <w:p>
      <w:pPr>
        <w:pStyle w:val="LO-normal"/>
        <w:keepNext w:val="false"/>
        <w:keepLines w:val="false"/>
        <w:pageBreakBefore w:val="false"/>
        <w:widowControl w:val="false"/>
        <w:shd w:val="clear" w:fill="auto"/>
        <w:spacing w:lineRule="auto" w:line="360" w:before="0" w:after="0"/>
        <w:ind w:firstLine="41" w:left="951" w:right="28"/>
        <w:jc w:val="both"/>
        <w:rPr>
          <w:rFonts w:ascii="Times New Roman" w:hAnsi="Times New Roman" w:eastAsia="Times New Roman" w:cs="Times New Roman"/>
          <w:sz w:val="24"/>
          <w:szCs w:val="24"/>
        </w:rPr>
      </w:pPr>
      <w:r>
        <w:rPr>
          <w:sz w:val="24"/>
          <w:szCs w:val="24"/>
        </w:rPr>
        <w:t>4.2. Na presente contratação não será admitida a indicação de marcas, características ou modelos.</w:t>
      </w:r>
      <w:r>
        <w:rPr>
          <w:rFonts w:eastAsia="Times New Roman" w:cs="Times New Roman" w:ascii="Times New Roman" w:hAnsi="Times New Roman"/>
          <w:sz w:val="24"/>
          <w:szCs w:val="24"/>
        </w:rPr>
        <w:t xml:space="preserve"> </w:t>
      </w:r>
    </w:p>
    <w:p>
      <w:pPr>
        <w:pStyle w:val="LO-normal"/>
        <w:keepNext w:val="false"/>
        <w:keepLines w:val="false"/>
        <w:pageBreakBefore w:val="false"/>
        <w:widowControl w:val="false"/>
        <w:shd w:val="clear" w:fill="auto"/>
        <w:spacing w:lineRule="auto" w:line="360" w:before="0" w:after="0"/>
        <w:ind w:hanging="687" w:left="1671" w:right="28"/>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t xml:space="preserve">Da vedação de contratação de marca ou produto </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 xml:space="preserve">4.3. Não será vedada nenhuma marca, desde que a mesma forneça o objeto conforme os itens do edital. </w:t>
      </w:r>
    </w:p>
    <w:p>
      <w:pPr>
        <w:pStyle w:val="LO-normal"/>
        <w:keepNext w:val="false"/>
        <w:keepLines w:val="false"/>
        <w:pageBreakBefore w:val="false"/>
        <w:widowControl w:val="false"/>
        <w:shd w:val="clear" w:fill="auto"/>
        <w:spacing w:lineRule="auto" w:line="360" w:before="0" w:after="0"/>
        <w:ind w:hanging="687" w:left="1671" w:right="28"/>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LO-normal"/>
        <w:keepNext w:val="false"/>
        <w:keepLines w:val="false"/>
        <w:pageBreakBefore w:val="false"/>
        <w:widowControl w:val="false"/>
        <w:shd w:val="clear" w:fill="auto"/>
        <w:spacing w:lineRule="auto" w:line="360" w:before="0" w:after="0"/>
        <w:ind w:hanging="687" w:left="1671" w:right="28"/>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t xml:space="preserve">Da exigência de amostra </w:t>
      </w:r>
    </w:p>
    <w:p>
      <w:pPr>
        <w:pStyle w:val="LO-normal"/>
        <w:keepNext w:val="false"/>
        <w:keepLines w:val="false"/>
        <w:pageBreakBefore w:val="false"/>
        <w:widowControl w:val="false"/>
        <w:shd w:val="clear" w:fill="auto"/>
        <w:spacing w:lineRule="auto" w:line="360" w:before="0" w:after="0"/>
        <w:ind w:firstLine="41" w:left="951" w:right="28"/>
        <w:jc w:val="both"/>
        <w:rPr>
          <w:rFonts w:ascii="Times New Roman" w:hAnsi="Times New Roman" w:eastAsia="Times New Roman" w:cs="Times New Roman"/>
          <w:sz w:val="24"/>
          <w:szCs w:val="24"/>
        </w:rPr>
      </w:pPr>
      <w:r>
        <w:rPr>
          <w:sz w:val="24"/>
          <w:szCs w:val="24"/>
        </w:rPr>
        <w:t>4.4. Não se faz necessário a apresentação de amostras.</w:t>
      </w:r>
      <w:r>
        <w:rPr>
          <w:rFonts w:eastAsia="Times New Roman" w:cs="Times New Roman" w:ascii="Times New Roman" w:hAnsi="Times New Roman"/>
          <w:sz w:val="24"/>
          <w:szCs w:val="24"/>
        </w:rPr>
        <w:t xml:space="preserve"> </w:t>
      </w:r>
    </w:p>
    <w:p>
      <w:pPr>
        <w:pStyle w:val="LO-normal"/>
        <w:keepNext w:val="false"/>
        <w:keepLines w:val="false"/>
        <w:pageBreakBefore w:val="false"/>
        <w:widowControl w:val="false"/>
        <w:shd w:val="clear" w:fill="auto"/>
        <w:spacing w:lineRule="auto" w:line="360" w:before="0" w:after="0"/>
        <w:ind w:hanging="687" w:left="1671" w:right="28"/>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t xml:space="preserve">Da exigência de carta de solidariedade </w:t>
      </w:r>
    </w:p>
    <w:p>
      <w:pPr>
        <w:pStyle w:val="LO-normal"/>
        <w:keepNext w:val="false"/>
        <w:keepLines w:val="false"/>
        <w:pageBreakBefore w:val="false"/>
        <w:widowControl w:val="false"/>
        <w:shd w:val="clear" w:fill="auto"/>
        <w:spacing w:lineRule="auto" w:line="360" w:before="0" w:after="0"/>
        <w:ind w:firstLine="41" w:left="951" w:right="28"/>
        <w:jc w:val="both"/>
        <w:rPr>
          <w:rFonts w:ascii="Times New Roman" w:hAnsi="Times New Roman" w:eastAsia="Times New Roman" w:cs="Times New Roman"/>
          <w:sz w:val="24"/>
          <w:szCs w:val="24"/>
        </w:rPr>
      </w:pPr>
      <w:r>
        <w:rPr>
          <w:sz w:val="24"/>
          <w:szCs w:val="24"/>
        </w:rPr>
        <w:t>4.5. Não se faz necessário a apresentação desta Carta.</w:t>
      </w:r>
    </w:p>
    <w:p>
      <w:pPr>
        <w:pStyle w:val="LO-normal"/>
        <w:keepNext w:val="false"/>
        <w:keepLines w:val="false"/>
        <w:pageBreakBefore w:val="false"/>
        <w:widowControl w:val="false"/>
        <w:shd w:val="clear" w:fill="auto"/>
        <w:spacing w:lineRule="auto" w:line="360" w:before="0" w:after="0"/>
        <w:ind w:hanging="687" w:left="1671" w:right="28"/>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t xml:space="preserve">Subcontratação </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 xml:space="preserve">4.6.  Não é admitida a subcontratação do objeto contratual. </w:t>
      </w:r>
    </w:p>
    <w:p>
      <w:pPr>
        <w:pStyle w:val="LO-normal"/>
        <w:keepNext w:val="false"/>
        <w:keepLines w:val="false"/>
        <w:pageBreakBefore w:val="false"/>
        <w:widowControl w:val="false"/>
        <w:shd w:val="clear" w:fill="auto"/>
        <w:spacing w:lineRule="auto" w:line="360" w:before="0" w:after="0"/>
        <w:ind w:hanging="687" w:left="1671" w:right="28"/>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t xml:space="preserve">Garantia da contratação </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4.7. Fica dispensada a exigência de garantia contratual, considerando que se trata de contratação de serviços continuados, cuja natureza e risco envolvido não justificam a necessidade de prestação de garantia, conforme análise técnica prévia.</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Parágrafo único. A não exigência de garantia não exime a contratada da integral responsabilidade pela fiel execução do contrato, nos moldes pactuados e conforme as disposições legais aplicáveis.</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4.8. A empresa contratada deverá cumprir as cláusulas contratuais, prever a entrega dos produtos nos locais definidos por esta secretaria, bem como garantir o cumprimento dos prazos estabelecidos no contrato.</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4.9.  Com relação aos requisitos técnicos, a empresa a ser contratada deverá: Apresentar Atestado de Capacidade Técnica de fornecimento, emitida por Pessoa Jurídica de Direito Público ou Privado, declarando que a empresa já promoveu o fornecimento da mesma natureza do objeto deste Termo, comprovando aptidão para o fornecimento do objeto pertinente de maneira compatível com as especificações.</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 xml:space="preserve">Para a referida contratação serão necessários os seguintes requisitos: </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 xml:space="preserve"> • </w:t>
      </w:r>
      <w:r>
        <w:rPr>
          <w:sz w:val="24"/>
          <w:szCs w:val="24"/>
        </w:rPr>
        <w:t xml:space="preserve">Licitação: Processo competitivo de seleção de propostas. </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 xml:space="preserve"> • </w:t>
      </w:r>
      <w:r>
        <w:rPr>
          <w:sz w:val="24"/>
          <w:szCs w:val="24"/>
        </w:rPr>
        <w:t xml:space="preserve">Registro da Empresa: Certificação de registro e conformidade legal da empresa. </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 xml:space="preserve"> • </w:t>
      </w:r>
      <w:r>
        <w:rPr>
          <w:sz w:val="24"/>
          <w:szCs w:val="24"/>
        </w:rPr>
        <w:t>Garantias e Certificações: Comprovação de capacidade técnica e financeira.</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 xml:space="preserve">• </w:t>
      </w:r>
      <w:r>
        <w:rPr>
          <w:sz w:val="24"/>
          <w:szCs w:val="24"/>
        </w:rPr>
        <w:t xml:space="preserve">Documentação Legal: Apresentação de documentos legais, como alvarás e certidões negativas. </w:t>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r>
    </w:p>
    <w:p>
      <w:pPr>
        <w:pStyle w:val="LO-normal"/>
        <w:keepNext w:val="false"/>
        <w:keepLines w:val="false"/>
        <w:pageBreakBefore w:val="false"/>
        <w:widowControl w:val="false"/>
        <w:shd w:val="clear" w:fill="auto"/>
        <w:spacing w:lineRule="auto" w:line="360" w:before="0" w:after="0"/>
        <w:ind w:firstLine="41" w:left="951" w:right="28"/>
        <w:jc w:val="both"/>
        <w:rPr>
          <w:sz w:val="24"/>
          <w:szCs w:val="24"/>
        </w:rPr>
      </w:pPr>
      <w:r>
        <w:rPr>
          <w:sz w:val="24"/>
          <w:szCs w:val="24"/>
        </w:rPr>
        <w:t>4.10. Comprovar por meio de declaração que possui o serviço de objeto da contratação, conforme a descrição e com compatibilidade de especificações técnicas e de desempenho, suficientes para atender adequadamente às necessidades.</w:t>
      </w:r>
    </w:p>
    <w:p>
      <w:pPr>
        <w:pStyle w:val="LO-normal"/>
        <w:keepNext w:val="false"/>
        <w:keepLines w:val="false"/>
        <w:pageBreakBefore w:val="false"/>
        <w:widowControl w:val="false"/>
        <w:shd w:val="clear" w:fill="auto"/>
        <w:spacing w:lineRule="auto" w:line="276" w:before="0" w:after="0"/>
        <w:ind w:hanging="691" w:left="944" w:right="31"/>
        <w:jc w:val="both"/>
        <w:rPr>
          <w:b/>
        </w:rPr>
      </w:pPr>
      <w:r>
        <w:rPr>
          <w:b/>
        </w:rPr>
      </w:r>
    </w:p>
    <w:p>
      <w:pPr>
        <w:pStyle w:val="LO-normal"/>
        <w:keepNext w:val="false"/>
        <w:keepLines w:val="false"/>
        <w:pageBreakBefore w:val="false"/>
        <w:widowControl w:val="false"/>
        <w:shd w:val="clear" w:fill="auto"/>
        <w:spacing w:lineRule="auto" w:line="276" w:before="0" w:after="0"/>
        <w:ind w:hanging="691" w:left="944" w:right="31"/>
        <w:jc w:val="both"/>
        <w:rPr>
          <w:b/>
        </w:rPr>
      </w:pPr>
      <w:r>
        <w:rPr>
          <w:b/>
        </w:rPr>
      </w:r>
    </w:p>
    <w:p>
      <w:pPr>
        <w:pStyle w:val="LO-normal"/>
        <w:widowControl w:val="false"/>
        <w:shd w:val="clear" w:fill="auto"/>
        <w:spacing w:lineRule="auto" w:line="276" w:before="0" w:after="0"/>
        <w:ind w:firstLine="16" w:left="1686" w:right="363"/>
        <w:jc w:val="left"/>
        <w:rPr>
          <w:b/>
        </w:rPr>
      </w:pPr>
      <w:r>
        <w:rPr>
          <w:b/>
        </w:rPr>
        <w:t xml:space="preserve">5. MODELO DE EXECUÇÃO DO OBJETO </w:t>
      </w:r>
    </w:p>
    <w:p>
      <w:pPr>
        <w:pStyle w:val="LO-normal"/>
        <w:widowControl w:val="false"/>
        <w:shd w:val="clear" w:fill="auto"/>
        <w:spacing w:lineRule="auto" w:line="276" w:before="0" w:after="0"/>
        <w:ind w:firstLine="16" w:left="246" w:right="363"/>
        <w:jc w:val="left"/>
        <w:rPr>
          <w:b/>
        </w:rPr>
      </w:pPr>
      <w:r>
        <w:rPr>
          <w:b/>
        </w:rPr>
      </w:r>
    </w:p>
    <w:p>
      <w:pPr>
        <w:pStyle w:val="LO-normal"/>
        <w:keepNext w:val="false"/>
        <w:keepLines w:val="false"/>
        <w:pageBreakBefore w:val="false"/>
        <w:widowControl w:val="false"/>
        <w:shd w:val="clear" w:fill="auto"/>
        <w:spacing w:lineRule="auto" w:line="276" w:before="0" w:after="0"/>
        <w:ind w:hanging="0" w:left="953" w:right="0"/>
        <w:jc w:val="left"/>
        <w:rPr>
          <w:rFonts w:ascii="Times New Roman" w:hAnsi="Times New Roman" w:eastAsia="Times New Roman" w:cs="Times New Roman"/>
          <w:b/>
          <w:i w:val="false"/>
          <w:i w:val="false"/>
          <w:caps w:val="false"/>
          <w:smallCaps w:val="false"/>
          <w:strike w:val="false"/>
          <w:dstrike w:val="false"/>
          <w:color w:val="000000"/>
          <w:position w:val="0"/>
          <w:sz w:val="22"/>
          <w:sz w:val="22"/>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2"/>
          <w:sz w:val="22"/>
          <w:highlight w:val="white"/>
          <w:u w:val="none"/>
          <w:vertAlign w:val="baseline"/>
        </w:rPr>
        <w:t xml:space="preserve">Condições </w:t>
      </w:r>
      <w:r>
        <w:rPr>
          <w:rFonts w:eastAsia="Times New Roman" w:cs="Times New Roman" w:ascii="Times New Roman" w:hAnsi="Times New Roman"/>
          <w:b/>
          <w:highlight w:val="white"/>
        </w:rPr>
        <w:t>Gerais:</w:t>
      </w:r>
    </w:p>
    <w:p>
      <w:pPr>
        <w:pStyle w:val="LO-normal"/>
        <w:keepNext w:val="false"/>
        <w:keepLines w:val="false"/>
        <w:pageBreakBefore w:val="false"/>
        <w:widowControl w:val="false"/>
        <w:shd w:val="clear" w:fill="auto"/>
        <w:spacing w:lineRule="auto" w:line="276" w:before="0" w:after="0"/>
        <w:ind w:hanging="0" w:left="953" w:right="0"/>
        <w:jc w:val="left"/>
        <w:rPr>
          <w:rFonts w:ascii="Times New Roman" w:hAnsi="Times New Roman" w:eastAsia="Times New Roman" w:cs="Times New Roman"/>
          <w:b/>
        </w:rPr>
      </w:pPr>
      <w:r>
        <w:rPr>
          <w:rFonts w:eastAsia="Times New Roman" w:cs="Times New Roman" w:ascii="Times New Roman" w:hAnsi="Times New Roman"/>
          <w:b/>
        </w:rPr>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bookmarkStart w:id="0" w:name="__DdeLink__1374_3465730124"/>
      <w:bookmarkEnd w:id="0"/>
      <w:r>
        <w:rPr>
          <w:sz w:val="24"/>
          <w:szCs w:val="24"/>
        </w:rPr>
        <w:t xml:space="preserve">A empresa contratada deverá cumprir as cláusulas contratuais, e requisitos abaixo: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5.1.</w:t>
        <w:tab/>
        <w:t xml:space="preserve"> Execução de Serviços de Higienização enxoval hospitalar (lençóis, cobertores, fronhas, campos cirúrgicos, compressas cirúrgicas, pijamas cirurgicos, roupas de pacientes em observação longa) sendo um total mensal de: mínimo de 1.000kg até o máximo de 2.500kg de roupas hospitalares.</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5.2. </w:t>
        <w:tab/>
        <w:t xml:space="preserve">Roupas Provenientes do SAMU e SIATE; (faixas de contenção, bandagens, lençol para maca).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5.3. Coleta e entrega do enxoval hospitalar sendo no mínimo 5 (cinco) vezes na semana, onde os dias serão definidos pelo serviço contratante. O material coletado (sujo) deverá ser pesado no local, no ato da coleta e acompanhado/supervisionado por profissional do estabelecimento designado para tal função.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5.4. A empresa prestadora de serviços deverá atender a todas as normas da Anvisa.</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5.5. A empresa prestadora de serviços deverá disponibilizar uma balança para pesagem do material a ser coletado e o material entregue.</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5.6. A empresa prestadora de serviços deverá disponibilizar formulário próprio para controle de coleta, que deverá ser realizado por kg e por tipo de peça conforme declarado pelo setor de origem. A conferência por unidade não será obrigatória no recebimento do material sujo, devendo a proporcionalidade entre as tipologias (lençóis, cobertores, pijamas, etc.) ser verificada no momento da retirada e devolução, com base nas informações do formulário de envio.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5.7. A empresa deverá devolver, higienizadas, as peças na mesma quantidade (kg)  e tipologia conforme informadas no ato da retirada. A eventual ausência ou extravio de peças deverá ser compensado pela empresa com a reposição equivalente.</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5.7.1 – Considerando as variações técnicas inerentes aos processos de lavagem, secagem e acabamento, será admitida uma margem de tolerância de até 10% (dez por cento) na comparação entre o peso da roupa suja coletada e o peso da roupa limpa devolvida.</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5.8. Local de retirada e devolução dos materiais = enxoval hospitalar, será no endereço: Rua Francisco de Almeida Garret, nº 141 – UPA CAMPO LARGO - Bairro Abranche Guimarães CEP 83.601-230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5.9. A contratação se trata de um serviço continuado de dedicação exclusiva de higienização de enxoval hospitalar, pois tem caráter essencial e permanente e sua prestação tem por finalidade fornecer enxoval higienizado para atender a demanda dos serviços essenciais da Secretaria de Saúde da Prefeitura de Campo Largo.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5.10. Os requisitos necessários para a empresa referente à contratação para serviços de higienização têxtil hospitalar, sejam continuados com entrega do material no prazo estipulado.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5.11. Ter os serviços de Higienização têxtil hospitalar no âmbito de sua atividade econômica principal ou secundária especificadas no contrato social vigente;</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5.12. Apresentação de atestado(s)/certidão(ões)/declaração(ões) que comprove(m) a prestação de serviços higienização têxtil hospitalar, necessários à execução adequada dos serviços. </w:t>
      </w:r>
    </w:p>
    <w:p>
      <w:pPr>
        <w:pStyle w:val="LO-normal"/>
        <w:keepNext w:val="false"/>
        <w:keepLines w:val="false"/>
        <w:pageBreakBefore w:val="false"/>
        <w:widowControl w:val="false"/>
        <w:shd w:val="clear" w:fill="auto"/>
        <w:spacing w:lineRule="auto" w:line="276" w:before="0" w:after="0"/>
        <w:ind w:hanging="685" w:left="949" w:right="21"/>
        <w:jc w:val="left"/>
        <w:rPr>
          <w:rFonts w:ascii="Times New Roman" w:hAnsi="Times New Roman" w:eastAsia="Times New Roman" w:cs="Times New Roman"/>
          <w:highlight w:val="white"/>
        </w:rPr>
      </w:pPr>
      <w:r>
        <w:rPr>
          <w:rFonts w:eastAsia="Times New Roman" w:cs="Times New Roman" w:ascii="Times New Roman" w:hAnsi="Times New Roman"/>
          <w:highlight w:val="white"/>
        </w:rPr>
      </w:r>
    </w:p>
    <w:p>
      <w:pPr>
        <w:pStyle w:val="LO-normal"/>
        <w:widowControl w:val="false"/>
        <w:shd w:val="clear" w:fill="auto"/>
        <w:spacing w:lineRule="auto" w:line="276" w:before="0" w:after="0"/>
        <w:ind w:hanging="685" w:left="949" w:right="21"/>
        <w:jc w:val="left"/>
        <w:rPr>
          <w:rFonts w:ascii="Times New Roman" w:hAnsi="Times New Roman" w:eastAsia="Times New Roman" w:cs="Times New Roman"/>
          <w:highlight w:val="white"/>
        </w:rPr>
      </w:pPr>
      <w:r>
        <w:rPr>
          <w:rFonts w:eastAsia="Times New Roman" w:cs="Times New Roman" w:ascii="Times New Roman" w:hAnsi="Times New Roman"/>
          <w:highlight w:val="white"/>
        </w:rPr>
      </w:r>
    </w:p>
    <w:p>
      <w:pPr>
        <w:pStyle w:val="LO-normal"/>
        <w:widowControl w:val="false"/>
        <w:shd w:val="clear" w:fill="auto"/>
        <w:spacing w:lineRule="auto" w:line="276" w:before="0" w:after="0"/>
        <w:ind w:hanging="685" w:left="949" w:right="21"/>
        <w:jc w:val="left"/>
        <w:rPr>
          <w:rFonts w:ascii="Times New Roman" w:hAnsi="Times New Roman" w:eastAsia="Times New Roman" w:cs="Times New Roman"/>
          <w:highlight w:val="white"/>
        </w:rPr>
      </w:pPr>
      <w:r>
        <w:rPr>
          <w:rFonts w:eastAsia="Times New Roman" w:cs="Times New Roman" w:ascii="Times New Roman" w:hAnsi="Times New Roman"/>
          <w:highlight w:val="white"/>
        </w:rPr>
      </w:r>
    </w:p>
    <w:p>
      <w:pPr>
        <w:pStyle w:val="LO-normal"/>
        <w:widowControl w:val="false"/>
        <w:shd w:val="clear" w:fill="auto"/>
        <w:spacing w:lineRule="auto" w:line="276" w:before="0" w:after="0"/>
        <w:ind w:hanging="685" w:left="949" w:right="21"/>
        <w:jc w:val="left"/>
        <w:rPr>
          <w:rFonts w:ascii="Times New Roman" w:hAnsi="Times New Roman" w:eastAsia="Times New Roman" w:cs="Times New Roman"/>
          <w:highlight w:val="white"/>
        </w:rPr>
      </w:pPr>
      <w:r>
        <w:rPr>
          <w:rFonts w:eastAsia="Times New Roman" w:cs="Times New Roman" w:ascii="Times New Roman" w:hAnsi="Times New Roman"/>
          <w:highlight w:val="white"/>
        </w:rPr>
      </w:r>
    </w:p>
    <w:p>
      <w:pPr>
        <w:pStyle w:val="LO-normal"/>
        <w:widowControl w:val="false"/>
        <w:shd w:val="clear" w:fill="auto"/>
        <w:spacing w:lineRule="auto" w:line="276" w:before="0" w:after="0"/>
        <w:ind w:hanging="685" w:left="949" w:right="21"/>
        <w:jc w:val="left"/>
        <w:rPr>
          <w:rFonts w:ascii="Times New Roman" w:hAnsi="Times New Roman" w:eastAsia="Times New Roman" w:cs="Times New Roman"/>
          <w:highlight w:val="white"/>
        </w:rPr>
      </w:pPr>
      <w:r>
        <w:rPr>
          <w:rFonts w:eastAsia="Times New Roman" w:cs="Times New Roman" w:ascii="Times New Roman" w:hAnsi="Times New Roman"/>
          <w:highlight w:val="white"/>
        </w:rPr>
      </w:r>
      <w:bookmarkStart w:id="1" w:name="__DdeLink__1374_3465730124_Copia_1"/>
      <w:bookmarkStart w:id="2" w:name="__DdeLink__1374_3465730124_Copia_1"/>
      <w:bookmarkEnd w:id="2"/>
    </w:p>
    <w:p>
      <w:pPr>
        <w:pStyle w:val="LO-normal"/>
        <w:keepNext w:val="false"/>
        <w:keepLines w:val="false"/>
        <w:pageBreakBefore w:val="false"/>
        <w:widowControl w:val="false"/>
        <w:shd w:val="clear" w:fill="auto"/>
        <w:spacing w:lineRule="auto" w:line="276" w:before="0" w:after="0"/>
        <w:ind w:hanging="685" w:left="949" w:right="21"/>
        <w:jc w:val="left"/>
        <w:rPr>
          <w:rFonts w:ascii="Times New Roman" w:hAnsi="Times New Roman" w:eastAsia="Times New Roman" w:cs="Times New Roman"/>
          <w:highlight w:val="white"/>
        </w:rPr>
      </w:pPr>
      <w:r>
        <w:rPr>
          <w:rFonts w:eastAsia="Times New Roman" w:cs="Times New Roman" w:ascii="Times New Roman" w:hAnsi="Times New Roman"/>
          <w:highlight w:val="white"/>
        </w:rPr>
      </w:r>
    </w:p>
    <w:p>
      <w:pPr>
        <w:pStyle w:val="LO-normal"/>
        <w:keepNext w:val="false"/>
        <w:keepLines w:val="false"/>
        <w:pageBreakBefore w:val="false"/>
        <w:widowControl w:val="false"/>
        <w:shd w:val="clear" w:fill="auto"/>
        <w:spacing w:lineRule="auto" w:line="360" w:before="0" w:after="0"/>
        <w:ind w:firstLine="473" w:left="967" w:right="0"/>
        <w:jc w:val="left"/>
        <w:rPr>
          <w:b/>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6. </w:t>
      </w:r>
      <w:r>
        <w:rPr>
          <w:b/>
        </w:rPr>
        <w:t xml:space="preserve">MODELO DE GESTÃO DO CONTRATO </w:t>
      </w:r>
    </w:p>
    <w:p>
      <w:pPr>
        <w:pStyle w:val="LO-normal"/>
        <w:keepNext w:val="false"/>
        <w:keepLines w:val="false"/>
        <w:pageBreakBefore w:val="false"/>
        <w:widowControl w:val="false"/>
        <w:shd w:val="clear" w:fill="auto"/>
        <w:spacing w:lineRule="auto" w:line="360" w:before="0" w:after="0"/>
        <w:ind w:firstLine="473" w:left="967" w:right="0"/>
        <w:jc w:val="left"/>
        <w:rPr>
          <w:b/>
        </w:rPr>
      </w:pPr>
      <w:r>
        <w:rPr>
          <w:b/>
        </w:rPr>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6.1.</w:t>
        <w:tab/>
        <w:t xml:space="preserve"> O contrato deverá ser executado fielmente pelas partes, de acordo com as cláusulas avençadas e as normas da Lei nº 14.133, de 2021, e cada parte responderá pelas consequências de sua inexecução total ou parcial.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6.2. Em caso de impedimento, ordem de paralisação ou suspensão do contrato, o cronograma de execução será prorrogado automaticamente pelo tempo correspondente, anotadas tais circunstâncias mediante simples apostila.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6.3. As comunicações entre o órgão ou entidade e a contratada devem ser realizadas por escrito sempre que o ato exigir tal formalidade, admitindo-se o uso de mensagem eletrônica para esse fim.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6.4. O órgão ou entidade poderá convocar representante da empresa para adoção de providências que devam ser cumpridas de imediato. </w:t>
      </w:r>
    </w:p>
    <w:p>
      <w:pPr>
        <w:pStyle w:val="LO-normal"/>
        <w:keepNext w:val="false"/>
        <w:keepLines w:val="false"/>
        <w:pageBreakBefore w:val="false"/>
        <w:widowControl w:val="false"/>
        <w:shd w:val="clear" w:fill="auto"/>
        <w:spacing w:lineRule="auto" w:line="360" w:before="0" w:after="0"/>
        <w:ind w:hanging="0" w:left="949" w:right="0"/>
        <w:jc w:val="left"/>
        <w:rPr>
          <w:rFonts w:ascii="Times New Roman" w:hAnsi="Times New Roman" w:eastAsia="Times New Roman" w:cs="Times New Roman"/>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Fiscalização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6.5. A execução do contrato deverá ser acompanhada e fiscalizada pelo(s) fiscal(is) do contrato, ou pelos respectivos substitutos (Lei nº 14.133, de 2021, art. 117, caput).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Fiscalização Técnica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6.6. O fiscal técnico do contrato acompanhará a execução do contrato, para que sejam cumpridas todas as condições estabelecidas no contrato, de modo a assegurar os melhores resultados para a Administração. (Decreto nº 11.246, de 2022, art. 22, VI);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6.7.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6.8. Identificada qualquer inexatidão ou irregularidade, o fiscal técnico do contrato emitirá notificações para a correção da execução do contrato, determinando prazo para a correção. (Decreto nº 11.246, de 2022, art. 22, III);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6.9. O fiscal técnico do contrato informará ao gestor do contrato, em tempo hábil, a situação que demandar decisão ou adoção de medidas que ultrapassem sua competência, para que adote as medidas necessárias e saneadoras, se for o caso. (Decreto nº 11.246, de 2022, art. 22, IV).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6.10. No caso de ocorrências que possam inviabilizar a execução do contrato nas datas aprazadas, o fiscal técnico do contrato comunicará o fato imediatamente ao gestor do contrato. (Decreto nº 11.246, de 2022, art. 22, V).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6.11. O fiscal técnico do contrato comunicará ao gestor do contrato, em tempo hábil, o término do contrato sob sua responsabilidade, com vistas à renovação tempestiva ou à prorrogação contratual (Decreto nº 11.246, de 2022, art. 22, VII). </w:t>
      </w:r>
    </w:p>
    <w:p>
      <w:pPr>
        <w:pStyle w:val="LO-normal"/>
        <w:keepNext w:val="false"/>
        <w:keepLines w:val="false"/>
        <w:pageBreakBefore w:val="false"/>
        <w:widowControl w:val="false"/>
        <w:shd w:val="clear" w:fill="auto"/>
        <w:spacing w:lineRule="auto" w:line="360" w:before="0" w:after="0"/>
        <w:ind w:hanging="0" w:left="949" w:right="0"/>
        <w:jc w:val="left"/>
        <w:rPr>
          <w:rFonts w:ascii="Times New Roman" w:hAnsi="Times New Roman" w:eastAsia="Times New Roman" w:cs="Times New Roman"/>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Fiscalização Administrativa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6.12.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6.13.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 </w:t>
      </w:r>
    </w:p>
    <w:p>
      <w:pPr>
        <w:pStyle w:val="LO-normal"/>
        <w:keepNext w:val="false"/>
        <w:keepLines w:val="false"/>
        <w:pageBreakBefore w:val="false"/>
        <w:widowControl w:val="false"/>
        <w:shd w:val="clear" w:fill="auto"/>
        <w:spacing w:lineRule="auto" w:line="360" w:before="0" w:after="0"/>
        <w:ind w:hanging="0" w:left="953" w:right="0"/>
        <w:jc w:val="left"/>
        <w:rPr>
          <w:rFonts w:ascii="Times New Roman" w:hAnsi="Times New Roman" w:eastAsia="Times New Roman" w:cs="Times New Roman"/>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Gestor do Contrato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6.14.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6.15.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6.16.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6.17.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6.18.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6.19.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6.20. O gestor do contrato deverá enviar a documentação pertinente ao setor de contratos para a formalização dos procedimentos de liquidação e pagamento, no valor dimensionado pela fiscalização e gestão nos termos do contrato. </w:t>
      </w:r>
    </w:p>
    <w:p>
      <w:pPr>
        <w:pStyle w:val="LO-normal"/>
        <w:keepNext w:val="false"/>
        <w:keepLines w:val="false"/>
        <w:pageBreakBefore w:val="false"/>
        <w:widowControl w:val="false"/>
        <w:shd w:val="clear" w:fill="auto"/>
        <w:spacing w:lineRule="auto" w:line="276" w:before="0" w:after="0"/>
        <w:ind w:hanging="681" w:left="944" w:right="27"/>
        <w:jc w:val="both"/>
        <w:rPr>
          <w:rFonts w:ascii="Times New Roman" w:hAnsi="Times New Roman" w:eastAsia="Times New Roman" w:cs="Times New Roman"/>
        </w:rPr>
      </w:pPr>
      <w:r>
        <w:rPr>
          <w:rFonts w:eastAsia="Times New Roman" w:cs="Times New Roman" w:ascii="Times New Roman" w:hAnsi="Times New Roman"/>
        </w:rPr>
      </w:r>
    </w:p>
    <w:p>
      <w:pPr>
        <w:pStyle w:val="LO-normal"/>
        <w:keepNext w:val="false"/>
        <w:keepLines w:val="false"/>
        <w:pageBreakBefore w:val="false"/>
        <w:widowControl w:val="false"/>
        <w:shd w:val="clear" w:fill="auto"/>
        <w:spacing w:lineRule="auto" w:line="276" w:before="0" w:after="0"/>
        <w:ind w:firstLine="474" w:left="966" w:right="0"/>
        <w:jc w:val="left"/>
        <w:rPr>
          <w:rFonts w:ascii="Times New Roman" w:hAnsi="Times New Roman" w:eastAsia="Times New Roman" w:cs="Times New Roman"/>
          <w:b/>
        </w:rPr>
      </w:pPr>
      <w:r>
        <w:rPr>
          <w:rFonts w:eastAsia="Times New Roman" w:cs="Times New Roman" w:ascii="Times New Roman" w:hAnsi="Times New Roman"/>
          <w:b/>
        </w:rPr>
      </w:r>
    </w:p>
    <w:p>
      <w:pPr>
        <w:pStyle w:val="LO-normal"/>
        <w:keepNext w:val="false"/>
        <w:keepLines w:val="false"/>
        <w:pageBreakBefore w:val="false"/>
        <w:widowControl w:val="false"/>
        <w:shd w:val="clear" w:fill="auto"/>
        <w:spacing w:lineRule="auto" w:line="276" w:before="0" w:after="0"/>
        <w:ind w:firstLine="474" w:left="966" w:right="0"/>
        <w:jc w:val="left"/>
        <w:rPr>
          <w:rFonts w:ascii="Times New Roman" w:hAnsi="Times New Roman" w:eastAsia="Times New Roman" w:cs="Times New Roman"/>
          <w:b/>
          <w:i w:val="false"/>
          <w:i w:val="false"/>
          <w:caps w:val="false"/>
          <w:smallCaps w:val="false"/>
          <w:strike w:val="false"/>
          <w:dstrike w:val="false"/>
          <w:color w:val="000000"/>
          <w:position w:val="0"/>
          <w:sz w:val="22"/>
          <w:sz w:val="22"/>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2"/>
          <w:sz w:val="22"/>
          <w:u w:val="none"/>
          <w:shd w:fill="auto" w:val="clear"/>
          <w:vertAlign w:val="baseline"/>
        </w:rPr>
        <w:t>7.</w:t>
      </w:r>
      <w:r>
        <w:rPr>
          <w:b/>
        </w:rPr>
        <w:t xml:space="preserve"> CRITÉRIOS DE MEDIÇÃO E DE PAGAMENTO </w:t>
      </w:r>
    </w:p>
    <w:p>
      <w:pPr>
        <w:pStyle w:val="LO-normal"/>
        <w:keepNext w:val="false"/>
        <w:keepLines w:val="false"/>
        <w:pageBreakBefore w:val="false"/>
        <w:widowControl w:val="false"/>
        <w:shd w:val="clear" w:fill="auto"/>
        <w:spacing w:lineRule="auto" w:line="276" w:before="0" w:after="0"/>
        <w:ind w:hanging="0" w:left="246" w:right="0"/>
        <w:jc w:val="left"/>
        <w:rPr>
          <w:rFonts w:ascii="Times New Roman" w:hAnsi="Times New Roman" w:eastAsia="Times New Roman" w:cs="Times New Roman"/>
          <w:b/>
        </w:rPr>
      </w:pPr>
      <w:r>
        <w:rPr>
          <w:rFonts w:eastAsia="Times New Roman" w:cs="Times New Roman" w:ascii="Times New Roman" w:hAnsi="Times New Roman"/>
          <w:b/>
        </w:rPr>
      </w:r>
    </w:p>
    <w:p>
      <w:pPr>
        <w:pStyle w:val="LO-normal"/>
        <w:keepNext w:val="false"/>
        <w:keepLines w:val="false"/>
        <w:pageBreakBefore w:val="false"/>
        <w:widowControl w:val="false"/>
        <w:shd w:val="clear" w:fill="auto"/>
        <w:spacing w:lineRule="auto" w:line="276" w:before="0" w:after="0"/>
        <w:ind w:hanging="0" w:left="246" w:right="0"/>
        <w:jc w:val="left"/>
        <w:rPr>
          <w:rFonts w:ascii="Times New Roman" w:hAnsi="Times New Roman" w:eastAsia="Times New Roman" w:cs="Times New Roman"/>
          <w:b/>
        </w:rPr>
      </w:pPr>
      <w:r>
        <w:rPr>
          <w:rFonts w:eastAsia="Times New Roman" w:cs="Times New Roman" w:ascii="Times New Roman" w:hAnsi="Times New Roman"/>
          <w:b/>
        </w:rPr>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7.1. A avaliação da execução do objeto utilizará como base a expedição dos recibos ou boletos para pagamento, sendo atestado pelo fiscal em termo definitivo após o período de utilização do serviço prestado.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 Será indicada a retenção ou glosa no pagamento, proporcional à irregularidade verificada, sem prejuízo das sanções cabíveis, caso se constate que a Contratada:</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7.2.1. Deixar de executar, ou não executar com qualidade mínima exigida as atividades contratadas;</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7.3. Os prazos e os métodos para a realização dos recebimentos provisórios e definitivos deverão ser definidos no instrumento convocatório e/ou no contrato.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7.4. No termo detalhado deverá conter no mínimo as seguintes informações: data e horário do recebimento e/ou da execução dos serviços, quem realizou a entrega, como foi o serviço prestado, número da nota de empenho, prazo de execução e prazo de vigência do contrato.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7.5. Sempre que possível, o termo detalhado deverá ser apresentado com fotografias e demais documentos pertinentes.</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7.6. Caso no contrário haja fiscal técnico e administrativo, o termo de recebimento deverá ser subscrito pelos dois de acordo com as competências de cada.</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7.7. O objeto do contrato deverá ser rejeitado, no todo ou em parte, quando estiver em desacordo com o contrato.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7.8. O prazo da disposição acima contando do recebimento de comunicação de cobrança oriunda do contrato com a comprovação da prestação dos serviços a que se refere a parcela a ser paga.</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7.9. Para efeito de recebimento provisório, ao final de cada período mensal.</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7.10.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e serem pagos à contratada, registrando em relatório a ser encaminhado ao gestor do contrato;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7.11. Os serviços poderão ser rejeitados, no todo ou em parte, quando em desacordo com as especificações constantes neste Termo de Referência e na proposta, sem prejuízo da aplicação das penalidades.</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7.12.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 los ao gestor do contrato para recebimento definitivo.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7.13. Emitir-se-á o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atestado de cumprimento de obrigações, conforme regulamento (art. 21, VIII, Decreto nº 11.246, de 2022).</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7.14. Realizar-se-á a análise dos relatórios e de toda documentação apresentada pela fiscalização e, caso haja irregularidades que impeçam a liquidação e o pagamento da despesa, indicar as cláusulas contratuais pertinentes, solicitando à CONTRATADA por escrito, as respectivas correções.</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7.15. Após os serviços prestados, deve ser emitida a Nota Fiscal ou Recibo, com o valor do serviço prestado sempre após o dia 03 de cada mês.</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7.16. Enviar a documentação pertinente ao setor de contratos para a formalização dos procedimentos de liquidação e posteriormente para a Seção de Pagamento, no valor dimensionado pela fiscalização e gestão.</w:t>
        <w:tab/>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7.17. No caso de controvérsia sobre a execução do objeto, quanto à dimensão, qualidade e  quantidade, deverá ser observado o teor do art. 143 da Lei n.º 14.133, de 2021, comunicando- se à empresa para emissão de Nota Fiscal no que pertine à parcela incontroversa da execução do objeto, para efeito de liquidação e pagamento.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7.18. Nenhum prazo de recebimento ocorrerá enquanto pendente a solução, pelo contratado, de inconsistências verificadas na execução do objeto ou no instrumento de cobrança.</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7.19. O recebimento provisório ou definitivo não excluirá a responsabilidade civil pela solidez e pela segurança do serviço nem a responsabilidade ético-profissional pela perfeita execução do contrato.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7.20. Recebida a Nota Fiscal ou documento de cobrança equivalente, correrá o prazo de 15 (quinze) dias úteis para fins de pagamento, na forma desta seção, prorrogáveis por igual período, caso seja necessário.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7.21. Para as contratações decorrentes de despesas cujos valores não ultrapassem o limite de que trata o inciso II do art. 75 da Lei n.º 14.133, de 2021 e quando os credores sejam microempresa, empresa de pequeno porte, agricultor familiar, produtor rural pessoa física, microempreendedor individual e sociedade cooperativa dentro dos limites do art. 3.º, inciso II, da Lei Complementar n.º 123/2006, o prazo será reduzido pela metade.</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7.22. Para fins de liquidação, o setor competente deve verificar se a Nota Fiscal ou Recibo apresentada expressa os elementos necessários e essenciais do documento, tais como: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7.22.1. A data da emissão;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7.22.2. Os dados do contrato e do órgão contratante;</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7.22.3. O período respectivo de execução do contrato;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7.22.4. O valor a pagar; e</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7.22.5.. Eventual destaque do valor de retenções tributárias cabíveis.</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7.23. Havendo erro na apresentação da nota Fiscal/Fatura, ou circunstância que impeça a liquidação da despesa, esta ficará sobreposta até que o contratado providencie as medidas saneadoras, reiniciando-se o prazo após a comprovação da regularização da situação sem ônus à contratante.</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7.24. A Nota Fiscal ou Fatura deverá ser obrigatoriamente acompanhada da comprovação da regularidade fiscal, constatada por meio de consulta on-line ao Sistema de Cadastro da Prefeitura de Campo Largo (CND) ou na impossibilidade de acesso ao referido Sistema mediante consulta aos sítios eletrônicos oficiais ou à documentação mencionada no art. 68 da Lei n.º 14.133/2021.</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7.26. Persistindo a irregularidade, o contratante deverá adotar as medidas necessárias à rescisão contratual nos autos do processo administrativo correspondente, assegurada ao contratado a ampla defesa.</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7.27. O pagamento será efetuado no prazo máximo de até 15 (quinze) dias úteis, contados da finalização da liquidação da despesa, conforme seção anterior, nos termos da legislação municipal.</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7.28. Na hipótese de estado de calamidade, caso fortuito ou força maior que impeça a liquidação ou o pagamento da despesa, o prazo para o pagamento será suspenso até a sua regularização, devendo ser mantida a posição da ordem cronológica que a despesa originalmente estava inscrita.</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7.29. No caso de insuficiência de recursos financeiros disponíveis para quitação integral da obrigação, poderá haver pagamento parcial do crédito, permanecendo o saldo remanescente na mesma posição da ordem cronológica.</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7.30. O pagamento será realizado através de ordem bancária, para crédito em banco, agência e conta-corrente indicados pelo contrato.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7.31. Será considerada data do pagamento o dia em que constar como emitida a ordem bancária para pagamento.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7.32. Quando do pagamento, será efetuada a retenção tributária prevista na legislação aplicável.</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7.33. Independente do percentual de tributo inserido na planilha, quando houver, serão retidos na fonte, quando da realização do pagamento, os percentuais estabelecidos na legislação vigente.</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7.34. O reajuste será realizado conforme cláusulas do contrato.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7.35. Os índices utilizados para eventual reajuste serão conforme definido em contrato.</w:t>
      </w:r>
    </w:p>
    <w:p>
      <w:pPr>
        <w:pStyle w:val="LO-normal"/>
        <w:keepNext w:val="false"/>
        <w:keepLines w:val="false"/>
        <w:pageBreakBefore w:val="false"/>
        <w:widowControl w:val="false"/>
        <w:shd w:val="clear" w:fill="auto"/>
        <w:spacing w:lineRule="auto" w:line="276" w:before="0" w:after="0"/>
        <w:ind w:hanging="682" w:left="946" w:right="19"/>
        <w:jc w:val="both"/>
        <w:rPr>
          <w:rFonts w:ascii="Times New Roman" w:hAnsi="Times New Roman" w:eastAsia="Times New Roman" w:cs="Times New Roman"/>
        </w:rPr>
      </w:pPr>
      <w:r>
        <w:rPr>
          <w:rFonts w:eastAsia="Times New Roman" w:cs="Times New Roman" w:ascii="Times New Roman" w:hAnsi="Times New Roman"/>
        </w:rPr>
      </w:r>
    </w:p>
    <w:p>
      <w:pPr>
        <w:pStyle w:val="LO-normal"/>
        <w:keepNext w:val="false"/>
        <w:keepLines w:val="false"/>
        <w:pageBreakBefore w:val="false"/>
        <w:widowControl w:val="false"/>
        <w:shd w:val="clear" w:fill="auto"/>
        <w:spacing w:lineRule="auto" w:line="276" w:before="0" w:after="0"/>
        <w:ind w:firstLine="474" w:left="966" w:right="0"/>
        <w:jc w:val="left"/>
        <w:rPr>
          <w:rFonts w:ascii="Times New Roman" w:hAnsi="Times New Roman" w:eastAsia="Times New Roman" w:cs="Times New Roman"/>
          <w:b/>
          <w:i w:val="false"/>
          <w:i w:val="false"/>
          <w:caps w:val="false"/>
          <w:smallCaps w:val="false"/>
          <w:strike w:val="false"/>
          <w:dstrike w:val="false"/>
          <w:color w:val="000000"/>
          <w:position w:val="0"/>
          <w:sz w:val="24"/>
          <w:sz w:val="24"/>
          <w:szCs w:val="24"/>
          <w:u w:val="none"/>
          <w:shd w:fill="auto" w:val="clear"/>
          <w:vertAlign w:val="baseline"/>
        </w:rPr>
      </w:pPr>
      <w:r>
        <w:rPr>
          <w:b/>
        </w:rPr>
        <w:t>8. FORMA E CRITÉRIOS DE SELEÇÃO DO FORNECEDOR E FORMA DE FORNECIMENTO</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 </w:t>
      </w:r>
    </w:p>
    <w:p>
      <w:pPr>
        <w:pStyle w:val="LO-normal"/>
        <w:keepNext w:val="false"/>
        <w:keepLines w:val="false"/>
        <w:pageBreakBefore w:val="false"/>
        <w:widowControl w:val="false"/>
        <w:shd w:val="clear" w:fill="auto"/>
        <w:spacing w:lineRule="auto" w:line="276" w:before="0" w:after="0"/>
        <w:ind w:firstLine="474" w:left="966" w:right="0"/>
        <w:jc w:val="left"/>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LO-normal"/>
        <w:keepNext w:val="false"/>
        <w:keepLines w:val="false"/>
        <w:pageBreakBefore w:val="false"/>
        <w:widowControl w:val="false"/>
        <w:shd w:val="clear" w:fill="auto"/>
        <w:spacing w:lineRule="auto" w:line="276" w:before="0" w:after="0"/>
        <w:ind w:hanging="0" w:left="949" w:right="0"/>
        <w:jc w:val="both"/>
        <w:rPr>
          <w:rFonts w:ascii="Times New Roman" w:hAnsi="Times New Roman" w:eastAsia="Times New Roman" w:cs="Times New Roman"/>
          <w:b/>
          <w:i w:val="false"/>
          <w:i w:val="false"/>
          <w:caps w:val="false"/>
          <w:smallCaps w:val="false"/>
          <w:strike w:val="false"/>
          <w:dstrike w:val="false"/>
          <w:color w:val="000000"/>
          <w:position w:val="0"/>
          <w:sz w:val="24"/>
          <w:sz w:val="24"/>
          <w:szCs w:val="24"/>
          <w:u w:val="none"/>
          <w:shd w:fill="auto" w:val="clear"/>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highlight w:val="white"/>
          <w:u w:val="none"/>
          <w:vertAlign w:val="baseline"/>
        </w:rPr>
        <w:t>Forma de seleção e critério de julgamento da proposta</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 </w:t>
      </w:r>
    </w:p>
    <w:p>
      <w:pPr>
        <w:pStyle w:val="LO-normal"/>
        <w:keepNext w:val="false"/>
        <w:keepLines w:val="false"/>
        <w:pageBreakBefore w:val="false"/>
        <w:widowControl w:val="false"/>
        <w:shd w:val="clear" w:fill="auto"/>
        <w:spacing w:lineRule="auto" w:line="276" w:before="0" w:after="0"/>
        <w:ind w:hanging="0" w:left="949" w:right="0"/>
        <w:jc w:val="both"/>
        <w:rPr>
          <w:rFonts w:ascii="Times New Roman" w:hAnsi="Times New Roman" w:eastAsia="Times New Roman" w:cs="Times New Roman"/>
          <w:b/>
          <w:sz w:val="24"/>
          <w:szCs w:val="24"/>
        </w:rPr>
      </w:pPr>
      <w:r>
        <w:rPr>
          <w:rFonts w:eastAsia="Times New Roman" w:cs="Times New Roman" w:ascii="Times New Roman" w:hAnsi="Times New Roman"/>
          <w:b/>
          <w:sz w:val="24"/>
          <w:szCs w:val="24"/>
        </w:rPr>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8.1. O fornecedor será selecionado por meio da realização de procedimento de LICITAÇÃO através de Registro de Preços com vigência para o período de 12 meses, com adoção do critério de julgamento pelo MENOR PREÇO.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Forma de fornecimento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8.2. O fornecimento do objeto será mediante a solicitação de empenho conforme necessidade desta secretaria </w:t>
      </w:r>
    </w:p>
    <w:p>
      <w:pPr>
        <w:pStyle w:val="LO-normal"/>
        <w:keepNext w:val="false"/>
        <w:keepLines w:val="false"/>
        <w:pageBreakBefore w:val="false"/>
        <w:widowControl w:val="false"/>
        <w:shd w:val="clear" w:fill="auto"/>
        <w:spacing w:lineRule="auto" w:line="360" w:before="0" w:after="0"/>
        <w:ind w:hanging="0" w:left="951" w:right="28"/>
        <w:jc w:val="both"/>
        <w:rPr>
          <w:rFonts w:ascii="Times New Roman" w:hAnsi="Times New Roman" w:eastAsia="Times New Roman" w:cs="Times New Roman"/>
          <w:b/>
          <w:sz w:val="24"/>
          <w:szCs w:val="24"/>
          <w:highlight w:val="white"/>
        </w:rPr>
      </w:pPr>
      <w:r>
        <w:rPr>
          <w:rFonts w:eastAsia="Times New Roman" w:cs="Times New Roman" w:ascii="Times New Roman" w:hAnsi="Times New Roman"/>
          <w:b/>
          <w:sz w:val="24"/>
          <w:szCs w:val="24"/>
          <w:highlight w:val="white"/>
        </w:rPr>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rFonts w:eastAsia="Times New Roman" w:cs="Times New Roman" w:ascii="Times New Roman" w:hAnsi="Times New Roman"/>
          <w:b/>
          <w:sz w:val="24"/>
          <w:szCs w:val="24"/>
          <w:highlight w:val="white"/>
        </w:rPr>
        <w:t>Exigências de habilitação</w:t>
      </w:r>
      <w:r>
        <w:rPr>
          <w:sz w:val="24"/>
          <w:szCs w:val="24"/>
        </w:rPr>
        <w:t xml:space="preserve">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8.3. Para fins de habilitação, deverá o licitante comprovar os seguintes requisitos: </w:t>
      </w:r>
    </w:p>
    <w:p>
      <w:pPr>
        <w:pStyle w:val="LO-normal"/>
        <w:keepNext w:val="false"/>
        <w:keepLines w:val="false"/>
        <w:pageBreakBefore w:val="false"/>
        <w:widowControl w:val="false"/>
        <w:shd w:val="clear" w:fill="auto"/>
        <w:spacing w:lineRule="auto" w:line="360" w:before="0" w:after="0"/>
        <w:ind w:hanging="0" w:left="951" w:right="28"/>
        <w:jc w:val="both"/>
        <w:rPr>
          <w:rFonts w:ascii="Times New Roman" w:hAnsi="Times New Roman" w:eastAsia="Times New Roman" w:cs="Times New Roman"/>
          <w:b/>
          <w:sz w:val="24"/>
          <w:szCs w:val="24"/>
          <w:highlight w:val="white"/>
        </w:rPr>
      </w:pPr>
      <w:r>
        <w:rPr>
          <w:rFonts w:eastAsia="Times New Roman" w:cs="Times New Roman" w:ascii="Times New Roman" w:hAnsi="Times New Roman"/>
          <w:b/>
          <w:sz w:val="24"/>
          <w:szCs w:val="24"/>
          <w:highlight w:val="white"/>
        </w:rPr>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rFonts w:eastAsia="Times New Roman" w:cs="Times New Roman" w:ascii="Times New Roman" w:hAnsi="Times New Roman"/>
          <w:b/>
          <w:sz w:val="24"/>
          <w:szCs w:val="24"/>
          <w:highlight w:val="white"/>
        </w:rPr>
        <w:t>Requisitos técnicos:</w:t>
      </w:r>
      <w:r>
        <w:rPr>
          <w:sz w:val="24"/>
          <w:szCs w:val="24"/>
        </w:rPr>
        <w:t xml:space="preserve">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I - atendimento a condições de capacidade técnica com a apresentação de Atestado de Capacidade Técnica de fornecimento, emitida por Pessoa Jurídica de Direito Público ou Privado, declarando que a empresa já promoveu o fornecimento da mesma natureza do objeto deste estudo, comprovando aptidão para o fornecimento do objeto pertinente de maneira compatível com as especificações com descrição de objetos semelhantes ao que se pretende contratar;</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Comprovar por meio de declaração que possui os materiais, objeto da contratação, conforme a descrição e com compatibilidade de especificações técnicas e de desempenho, suficientes para atender adequadamente às necessidades.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A empresa contratada deverá cumprir as cláusulas contratuais, bem como prever o transporte e entrega dos produtos nos locais designados por esta secretaria.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II - Apresentação de Licença de Operação válida, emitida pelo órgão ambiental competente.</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III - Apresentação do Plano de Gerenciamento de Resíduos dos Serviços de Saúde – PGRSS, elaborado conforme a legislação vigente (Resolução CONAMA nº 358/2005 e RDC ANVISA nº 222/2018), devidamente aprovado e compatível com os serviços a serem executados.</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IV - Apresentação de comprovação de Responsável Técnico (RT), com registro em Conselho de Classe competente, devidamente compatível com as atividades objeto da licitação.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V - Apresentação de cópia da Licença Sanitária válida, expedida pelo órgão competente da Vigilância Sanitária, que autorize a empresa a exercer as atividades relacionadas ao objeto da licitação.</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r>
    </w:p>
    <w:p>
      <w:pPr>
        <w:pStyle w:val="LO-normal"/>
        <w:keepNext w:val="false"/>
        <w:keepLines w:val="false"/>
        <w:pageBreakBefore w:val="false"/>
        <w:widowControl w:val="false"/>
        <w:shd w:val="clear" w:fill="auto"/>
        <w:spacing w:lineRule="auto" w:line="360" w:before="0" w:after="0"/>
        <w:ind w:hanging="0" w:left="951" w:right="28"/>
        <w:jc w:val="both"/>
        <w:rPr>
          <w:b/>
          <w:sz w:val="24"/>
          <w:szCs w:val="24"/>
        </w:rPr>
      </w:pPr>
      <w:r>
        <w:rPr>
          <w:rFonts w:eastAsia="Times New Roman" w:cs="Times New Roman" w:ascii="Times New Roman" w:hAnsi="Times New Roman"/>
          <w:b/>
          <w:sz w:val="24"/>
          <w:szCs w:val="24"/>
          <w:highlight w:val="white"/>
        </w:rPr>
        <w:t>Habilitação jurídica</w:t>
      </w:r>
      <w:r>
        <w:rPr>
          <w:b/>
          <w:sz w:val="24"/>
          <w:szCs w:val="24"/>
        </w:rPr>
        <w:t xml:space="preserve">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8.4. Microempreendedor Individual - MEI: Certificado da Condição de Microempreendedor Individual - CCMEI, cuja aceitação ficará condicionada à verificação da autenticidade no sítio https://www.gov.br/empresas-e-negocios/pt-br/empreendedor;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8.5.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8.6.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8.7. Sociedade simples: inscrição do ato constitutivo no Registro Civil de Pessoas Jurídicas do local de sua sede, acompanhada de documento comprobatório de seus administradores;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8.8.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8.9.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de 1971. </w:t>
      </w:r>
    </w:p>
    <w:p>
      <w:pPr>
        <w:pStyle w:val="LO-normal"/>
        <w:keepNext w:val="false"/>
        <w:keepLines w:val="false"/>
        <w:pageBreakBefore w:val="false"/>
        <w:widowControl w:val="false"/>
        <w:shd w:val="clear" w:fill="auto"/>
        <w:spacing w:lineRule="auto" w:line="360" w:before="0" w:after="0"/>
        <w:ind w:hanging="0" w:left="951" w:right="28"/>
        <w:jc w:val="both"/>
        <w:rPr>
          <w:rFonts w:ascii="Times New Roman" w:hAnsi="Times New Roman" w:eastAsia="Times New Roman" w:cs="Times New Roman"/>
          <w:b/>
          <w:sz w:val="24"/>
          <w:szCs w:val="24"/>
          <w:highlight w:val="white"/>
        </w:rPr>
      </w:pPr>
      <w:r>
        <w:rPr>
          <w:rFonts w:eastAsia="Times New Roman" w:cs="Times New Roman" w:ascii="Times New Roman" w:hAnsi="Times New Roman"/>
          <w:b/>
          <w:sz w:val="24"/>
          <w:szCs w:val="24"/>
          <w:highlight w:val="white"/>
        </w:rPr>
      </w:r>
    </w:p>
    <w:p>
      <w:pPr>
        <w:pStyle w:val="LO-normal"/>
        <w:keepNext w:val="false"/>
        <w:keepLines w:val="false"/>
        <w:pageBreakBefore w:val="false"/>
        <w:widowControl w:val="false"/>
        <w:shd w:val="clear" w:fill="auto"/>
        <w:spacing w:lineRule="auto" w:line="360" w:before="0" w:after="0"/>
        <w:ind w:hanging="0" w:left="951" w:right="28"/>
        <w:jc w:val="both"/>
        <w:rPr>
          <w:b/>
          <w:sz w:val="24"/>
          <w:szCs w:val="24"/>
        </w:rPr>
      </w:pPr>
      <w:r>
        <w:rPr>
          <w:rFonts w:eastAsia="Times New Roman" w:cs="Times New Roman" w:ascii="Times New Roman" w:hAnsi="Times New Roman"/>
          <w:b/>
          <w:sz w:val="24"/>
          <w:szCs w:val="24"/>
          <w:highlight w:val="white"/>
        </w:rPr>
        <w:t xml:space="preserve">Habilitação fiscal, social e trabalhista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8.10. Prova de inscrição no Cadastro Nacional de Pessoas Jurídicas;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8.11.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8.12. Prova de regularidade com o Fundo de Garantia do Tempo de Serviço (FGTS);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8.13.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8.14. Prova de inscrição no cadastro de contribuintes [Estadual/Distrital] e [Municipal/Distrital] relativo ao domicílio ou sede do fornecedor, pertinente ao seu ramo de atividade e compatível com o objeto contratual;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8.15. Prova de regularidade com a Fazenda Estadual/Distrital e Municipal/Distrital do domicílio ou sede do fornecedor, relativa à atividade em cujo exercício contrata ou concorre;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8.16. Caso o fornecedor seja considerado isento dos tributos [Estadual/Distrital] e [Municipal/Distrital] relacionados ao objeto contratual, deverá comprovar tal condição mediante a apresentação de declaração da Fazenda respectiva do seu domicílio ou sede, ou outra equivalente, na forma da lei.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8.17. O fornecedor enquadrado como microempreendedor individual que pretenda auferir os benefícios do tratamento diferenciado previstos na Lei Complementar n. 123, de 2006, estará dispensado da prova de inscrição nos cadastros de contribuintes estadual e municipal. </w:t>
      </w:r>
    </w:p>
    <w:p>
      <w:pPr>
        <w:pStyle w:val="LO-normal"/>
        <w:keepNext w:val="false"/>
        <w:keepLines w:val="false"/>
        <w:pageBreakBefore w:val="false"/>
        <w:widowControl w:val="false"/>
        <w:shd w:val="clear" w:fill="auto"/>
        <w:spacing w:lineRule="auto" w:line="360" w:before="0" w:after="0"/>
        <w:ind w:hanging="0" w:left="951" w:right="28"/>
        <w:jc w:val="both"/>
        <w:rPr>
          <w:rFonts w:ascii="Times New Roman" w:hAnsi="Times New Roman" w:eastAsia="Times New Roman" w:cs="Times New Roman"/>
          <w:b/>
          <w:sz w:val="24"/>
          <w:szCs w:val="24"/>
          <w:highlight w:val="white"/>
        </w:rPr>
      </w:pPr>
      <w:r>
        <w:rPr>
          <w:rFonts w:eastAsia="Times New Roman" w:cs="Times New Roman" w:ascii="Times New Roman" w:hAnsi="Times New Roman"/>
          <w:b/>
          <w:sz w:val="24"/>
          <w:szCs w:val="24"/>
          <w:highlight w:val="white"/>
        </w:rPr>
      </w:r>
    </w:p>
    <w:p>
      <w:pPr>
        <w:pStyle w:val="LO-normal"/>
        <w:keepNext w:val="false"/>
        <w:keepLines w:val="false"/>
        <w:pageBreakBefore w:val="false"/>
        <w:widowControl w:val="false"/>
        <w:shd w:val="clear" w:fill="auto"/>
        <w:spacing w:lineRule="auto" w:line="360" w:before="0" w:after="0"/>
        <w:ind w:hanging="0" w:left="951" w:right="28"/>
        <w:jc w:val="both"/>
        <w:rPr>
          <w:b/>
          <w:sz w:val="24"/>
          <w:szCs w:val="24"/>
        </w:rPr>
      </w:pPr>
      <w:r>
        <w:rPr>
          <w:rFonts w:eastAsia="Times New Roman" w:cs="Times New Roman" w:ascii="Times New Roman" w:hAnsi="Times New Roman"/>
          <w:b/>
          <w:sz w:val="24"/>
          <w:szCs w:val="24"/>
          <w:highlight w:val="white"/>
        </w:rPr>
        <w:t xml:space="preserve">Qualificação Econômico-Financeira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8.18. Certidão negativa de falência expedida pelo distribuidor da sede do fornecedor - Lei nº 14.133, de 2021, art. 69, caput, inciso II);O proponente cuja sede seja Almirante Tamandaré, Araucária, Campina Grande do Sul, Campo Largo, Colombo, Fazenda Rio Grande, Pinhais, Piraquara ou São José dos Pinhais deverá apresentar a certidão negativa de processos falimentares da comarca de Curitiba-PR para o devido cumprimento no disposto da resolução 213/2018 do Tribunal de Justiça do Paraná (TJ-PR).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8.19. Balanço patrimonial, demonstração de resultado de exercício e demais demonstrações contábeis dos 2 (dois) últimos exercícios sociais, comprovando;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8.21. As empresas criadas no exercício financeiro da licitação deverão atender a todas as exigências da habilitação e poderão substituir os demonstrativos contábeis pelo balanço de abertura.  (Lei nº 14.133, de 2021, art. 65, §1º).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8.22. Caso admitida a participação de cooperativas, será exigida a seguinte documentação complementar: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8.23. 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8.24. A declaração de regularidade de situação do contribuinte individual – DRSCI, para cada um dos cooperados indicados;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8.25. A comprovação do capital social proporcional ao número de cooperados necessários à execução contratual; 1.97.4. O registro previsto na Lei n. 5.764, de 1971, art. 107;</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8.26. A comprovação de integração das respectivas quotas-partes por parte dos cooperados que executarão o contrato; e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8.27.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8.28. A última auditoria contábil-financeira da cooperativa, conforme dispõe o art. 112 da Lei n. 5.764, de 1971, ou uma declaração, sob as penas da lei, de que tal auditoria não foi exigida pelo órgão fiscalizador. </w:t>
      </w:r>
    </w:p>
    <w:p>
      <w:pPr>
        <w:pStyle w:val="LO-normal"/>
        <w:keepNext w:val="false"/>
        <w:keepLines w:val="false"/>
        <w:pageBreakBefore w:val="false"/>
        <w:widowControl w:val="false"/>
        <w:shd w:val="clear" w:fill="auto"/>
        <w:spacing w:lineRule="auto" w:line="276" w:before="0" w:after="0"/>
        <w:ind w:hanging="0" w:left="246" w:right="0"/>
        <w:jc w:val="left"/>
        <w:rPr>
          <w:b/>
        </w:rPr>
      </w:pPr>
      <w:r>
        <w:rPr>
          <w:b/>
        </w:rPr>
      </w:r>
    </w:p>
    <w:p>
      <w:pPr>
        <w:pStyle w:val="LO-normal"/>
        <w:keepNext w:val="false"/>
        <w:keepLines w:val="false"/>
        <w:pageBreakBefore w:val="false"/>
        <w:widowControl w:val="false"/>
        <w:shd w:val="clear" w:fill="auto"/>
        <w:spacing w:lineRule="auto" w:line="276" w:before="0" w:after="0"/>
        <w:ind w:firstLine="474" w:left="966" w:right="0"/>
        <w:jc w:val="left"/>
        <w:rPr>
          <w:b/>
        </w:rPr>
      </w:pPr>
      <w:r>
        <w:rPr>
          <w:b/>
        </w:rPr>
        <w:t xml:space="preserve">9. ESTIMATIVAS DO VALOR DA CONTRATAÇÃO </w:t>
      </w:r>
    </w:p>
    <w:p>
      <w:pPr>
        <w:pStyle w:val="LO-normal"/>
        <w:keepNext w:val="false"/>
        <w:keepLines w:val="false"/>
        <w:pageBreakBefore w:val="false"/>
        <w:widowControl w:val="false"/>
        <w:shd w:val="clear" w:fill="auto"/>
        <w:spacing w:lineRule="auto" w:line="276" w:before="0" w:after="0"/>
        <w:ind w:hanging="0" w:left="246" w:right="0"/>
        <w:jc w:val="left"/>
        <w:rPr>
          <w:b/>
        </w:rPr>
      </w:pPr>
      <w:r>
        <w:rPr>
          <w:b/>
        </w:rPr>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9.1. O custo estimado total da contratação pelo menor preço de acordo com o valor apresentado na requisição de compras anexa ao processo, conforme custos avaliados através das propostas recebidas. </w:t>
      </w:r>
    </w:p>
    <w:p>
      <w:pPr>
        <w:pStyle w:val="LO-normal"/>
        <w:widowControl w:val="false"/>
        <w:shd w:val="clear" w:fill="auto"/>
        <w:spacing w:lineRule="auto" w:line="264" w:before="151" w:after="0"/>
        <w:ind w:firstLine="720" w:left="720" w:right="29"/>
        <w:jc w:val="left"/>
        <w:rPr>
          <w:b/>
        </w:rPr>
      </w:pPr>
      <w:r>
        <w:rPr>
          <w:b/>
        </w:rPr>
        <w:t xml:space="preserve">10. ADEQUAÇÃO ORÇAMENTÁRIA </w:t>
      </w:r>
    </w:p>
    <w:p>
      <w:pPr>
        <w:pStyle w:val="LO-normal"/>
        <w:keepNext w:val="false"/>
        <w:keepLines w:val="false"/>
        <w:pageBreakBefore w:val="false"/>
        <w:widowControl w:val="false"/>
        <w:shd w:val="clear" w:fill="auto"/>
        <w:spacing w:lineRule="auto" w:line="264" w:before="151" w:after="0"/>
        <w:ind w:hanging="699" w:left="952" w:right="29"/>
        <w:jc w:val="left"/>
        <w:rPr>
          <w:b/>
        </w:rPr>
      </w:pPr>
      <w:r>
        <w:rPr>
          <w:b/>
        </w:rPr>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10.1 As despesas decorrentes da presente contratação correrão à conta de recursos específicos consignados no Orçamento da Secretaria Municipal de Saúde.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 xml:space="preserve">10.2. A contratação será atendida pela seguinte dotação: </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I) Gestão/Unidade: Secretaria Municipal de Saúde;</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II) Elemento de Despesa: 33390397802</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III) Fonte de Recursos: Bloco de Custeio das Ações e Serviços Públicos de Saúde</w:t>
      </w:r>
    </w:p>
    <w:p>
      <w:pPr>
        <w:pStyle w:val="LO-normal"/>
        <w:keepNext w:val="false"/>
        <w:keepLines w:val="false"/>
        <w:pageBreakBefore w:val="false"/>
        <w:widowControl w:val="false"/>
        <w:shd w:val="clear" w:fill="auto"/>
        <w:spacing w:lineRule="auto" w:line="360" w:before="0" w:after="0"/>
        <w:ind w:hanging="0" w:left="951" w:right="28"/>
        <w:jc w:val="both"/>
        <w:rPr>
          <w:sz w:val="24"/>
          <w:szCs w:val="24"/>
        </w:rPr>
      </w:pPr>
      <w:r>
        <w:rPr>
          <w:sz w:val="24"/>
          <w:szCs w:val="24"/>
        </w:rPr>
        <w:t>IV) Referência: Dotação: 920 e 734, Ação: 2048 e 2040</w:t>
      </w:r>
    </w:p>
    <w:p>
      <w:pPr>
        <w:pStyle w:val="LO-normal"/>
        <w:keepNext w:val="false"/>
        <w:keepLines w:val="false"/>
        <w:pageBreakBefore w:val="false"/>
        <w:widowControl w:val="false"/>
        <w:shd w:val="clear" w:fill="auto"/>
        <w:spacing w:lineRule="auto" w:line="240" w:before="31" w:after="0"/>
        <w:ind w:hanging="0" w:left="245" w:right="0"/>
        <w:jc w:val="left"/>
        <w:rPr>
          <w:rFonts w:ascii="Times New Roman" w:hAnsi="Times New Roman" w:eastAsia="Times New Roman" w:cs="Times New Roman"/>
          <w:b/>
          <w:sz w:val="24"/>
          <w:szCs w:val="24"/>
          <w:highlight w:val="yellow"/>
        </w:rPr>
      </w:pPr>
      <w:r>
        <w:rPr>
          <w:rFonts w:eastAsia="Times New Roman" w:cs="Times New Roman" w:ascii="Times New Roman" w:hAnsi="Times New Roman"/>
          <w:b/>
          <w:sz w:val="24"/>
          <w:szCs w:val="24"/>
          <w:highlight w:val="yellow"/>
        </w:rPr>
      </w:r>
    </w:p>
    <w:p>
      <w:pPr>
        <w:pStyle w:val="LO-normal"/>
        <w:keepNext w:val="false"/>
        <w:keepLines w:val="false"/>
        <w:pageBreakBefore w:val="false"/>
        <w:widowControl w:val="false"/>
        <w:shd w:val="clear" w:fill="auto"/>
        <w:spacing w:lineRule="auto" w:line="240" w:before="31" w:after="0"/>
        <w:ind w:hanging="0" w:left="720" w:right="0"/>
        <w:jc w:val="right"/>
        <w:rPr>
          <w:sz w:val="24"/>
          <w:szCs w:val="24"/>
        </w:rPr>
      </w:pPr>
      <w:r>
        <w:rPr>
          <w:sz w:val="24"/>
          <w:szCs w:val="24"/>
        </w:rPr>
        <w:t xml:space="preserve">Campo Largo, </w:t>
      </w:r>
      <w:r>
        <w:rPr>
          <w:sz w:val="24"/>
          <w:szCs w:val="24"/>
        </w:rPr>
        <w:t>24</w:t>
      </w:r>
      <w:r>
        <w:rPr>
          <w:sz w:val="24"/>
          <w:szCs w:val="24"/>
        </w:rPr>
        <w:t xml:space="preserve"> de outubro de 2025</w:t>
      </w:r>
    </w:p>
    <w:p>
      <w:pPr>
        <w:pStyle w:val="LO-normal"/>
        <w:widowControl w:val="false"/>
        <w:shd w:val="clear" w:fill="auto"/>
        <w:spacing w:lineRule="auto" w:line="240" w:before="31" w:after="0"/>
        <w:ind w:hanging="0" w:left="720" w:right="0"/>
        <w:jc w:val="right"/>
        <w:rPr>
          <w:sz w:val="24"/>
          <w:szCs w:val="24"/>
        </w:rPr>
      </w:pPr>
      <w:r>
        <w:rPr/>
      </w:r>
    </w:p>
    <w:p>
      <w:pPr>
        <w:pStyle w:val="LO-normal"/>
        <w:widowControl w:val="false"/>
        <w:shd w:val="clear" w:fill="auto"/>
        <w:spacing w:lineRule="auto" w:line="240" w:before="31" w:after="0"/>
        <w:ind w:hanging="0" w:left="720" w:right="0"/>
        <w:jc w:val="right"/>
        <w:rPr>
          <w:sz w:val="24"/>
          <w:szCs w:val="24"/>
        </w:rPr>
      </w:pPr>
      <w:r>
        <w:rPr/>
      </w:r>
    </w:p>
    <w:p>
      <w:pPr>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893" w:right="1098" w:gutter="0" w:header="0" w:top="453" w:footer="0" w:bottom="1529"/>
          <w:pgNumType w:start="1" w:fmt="decimal"/>
          <w:formProt w:val="false"/>
          <w:textDirection w:val="lrTb"/>
          <w:docGrid w:type="default" w:linePitch="100" w:charSpace="0"/>
        </w:sectPr>
      </w:pPr>
    </w:p>
    <w:p>
      <w:pPr>
        <w:pStyle w:val="LO-normal"/>
        <w:pageBreakBefore w:val="false"/>
        <w:widowControl w:val="false"/>
        <w:shd w:val="clear" w:fill="auto"/>
        <w:spacing w:lineRule="auto" w:line="240" w:before="31" w:after="0"/>
        <w:ind w:hanging="0" w:left="720" w:right="0"/>
        <w:jc w:val="center"/>
        <w:rPr>
          <w:sz w:val="20"/>
          <w:szCs w:val="20"/>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____________________________</w:t>
      </w:r>
    </w:p>
    <w:p>
      <w:pPr>
        <w:pStyle w:val="LO-normal"/>
        <w:widowControl w:val="false"/>
        <w:shd w:val="clear" w:fill="auto"/>
        <w:spacing w:lineRule="auto" w:line="240" w:before="31" w:after="0"/>
        <w:ind w:hanging="0" w:left="720" w:right="0"/>
        <w:jc w:val="center"/>
        <w:rPr>
          <w:sz w:val="20"/>
          <w:szCs w:val="20"/>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Luiza Marochi Almeida</w:t>
      </w:r>
    </w:p>
    <w:p>
      <w:pPr>
        <w:pStyle w:val="LO-normal"/>
        <w:widowControl w:val="false"/>
        <w:shd w:val="clear" w:fill="auto"/>
        <w:spacing w:lineRule="auto" w:line="240" w:before="31" w:after="0"/>
        <w:ind w:hanging="0" w:left="720" w:right="0"/>
        <w:jc w:val="center"/>
        <w:rPr>
          <w:sz w:val="20"/>
          <w:szCs w:val="20"/>
        </w:rPr>
      </w:pPr>
      <w:bookmarkStart w:id="3" w:name="__DdeLink__378_1457104868"/>
      <w:r>
        <w:rPr>
          <w:rFonts w:eastAsia="Arial" w:cs="Arial"/>
          <w:b w:val="false"/>
          <w:i w:val="false"/>
          <w:caps w:val="false"/>
          <w:smallCaps w:val="false"/>
          <w:strike w:val="false"/>
          <w:dstrike w:val="false"/>
          <w:color w:val="000000"/>
          <w:position w:val="0"/>
          <w:sz w:val="20"/>
          <w:sz w:val="20"/>
          <w:szCs w:val="20"/>
          <w:u w:val="none"/>
          <w:shd w:fill="auto" w:val="clear"/>
          <w:vertAlign w:val="baseline"/>
        </w:rPr>
        <w:t>Secretária Municipal de Saude</w:t>
      </w:r>
      <w:bookmarkEnd w:id="3"/>
    </w:p>
    <w:p>
      <w:pPr>
        <w:pStyle w:val="LO-normal"/>
        <w:widowControl w:val="false"/>
        <w:shd w:val="clear" w:fill="auto"/>
        <w:spacing w:lineRule="auto" w:line="240" w:before="31" w:after="0"/>
        <w:ind w:hanging="0" w:left="720" w:right="0"/>
        <w:jc w:val="center"/>
        <w:rPr>
          <w:sz w:val="20"/>
          <w:szCs w:val="20"/>
        </w:rPr>
      </w:pPr>
      <w:r>
        <w:rPr>
          <w:sz w:val="20"/>
          <w:szCs w:val="20"/>
        </w:rPr>
      </w:r>
    </w:p>
    <w:p>
      <w:pPr>
        <w:pStyle w:val="LO-normal"/>
        <w:widowControl w:val="false"/>
        <w:shd w:val="clear" w:fill="auto"/>
        <w:spacing w:lineRule="auto" w:line="240" w:before="31" w:after="0"/>
        <w:ind w:hanging="0" w:left="720" w:right="0"/>
        <w:jc w:val="center"/>
        <w:rPr>
          <w:sz w:val="20"/>
          <w:szCs w:val="20"/>
        </w:rPr>
      </w:pPr>
      <w:r>
        <w:rPr>
          <w:sz w:val="20"/>
          <w:szCs w:val="20"/>
        </w:rPr>
      </w:r>
    </w:p>
    <w:p>
      <w:pPr>
        <w:pStyle w:val="LO-normal"/>
        <w:widowControl w:val="false"/>
        <w:shd w:val="clear" w:fill="auto"/>
        <w:spacing w:lineRule="auto" w:line="240" w:before="31" w:after="0"/>
        <w:ind w:hanging="0" w:left="720" w:right="0"/>
        <w:jc w:val="center"/>
        <w:rPr>
          <w:sz w:val="20"/>
          <w:szCs w:val="20"/>
        </w:rPr>
      </w:pPr>
      <w:r>
        <w:rPr>
          <w:sz w:val="20"/>
          <w:szCs w:val="20"/>
        </w:rPr>
      </w:r>
    </w:p>
    <w:p>
      <w:pPr>
        <w:pStyle w:val="LO-normal"/>
        <w:widowControl w:val="false"/>
        <w:shd w:val="clear" w:fill="auto"/>
        <w:spacing w:lineRule="auto" w:line="240" w:before="31" w:after="0"/>
        <w:ind w:hanging="0" w:left="720" w:right="0"/>
        <w:jc w:val="center"/>
        <w:rPr>
          <w:sz w:val="20"/>
          <w:szCs w:val="20"/>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____________________________</w:t>
      </w:r>
    </w:p>
    <w:p>
      <w:pPr>
        <w:pStyle w:val="LO-normal"/>
        <w:widowControl w:val="false"/>
        <w:shd w:val="clear" w:fill="auto"/>
        <w:spacing w:lineRule="auto" w:line="240" w:before="31" w:after="0"/>
        <w:ind w:hanging="0" w:left="720" w:right="0"/>
        <w:jc w:val="center"/>
        <w:rPr>
          <w:sz w:val="20"/>
          <w:szCs w:val="20"/>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Andrea Ferneandes DepieriDiretora da Diretoria de Urgência e </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Emergência</w:t>
      </w: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 </w:t>
      </w:r>
    </w:p>
    <w:p>
      <w:pPr>
        <w:pStyle w:val="LO-normal"/>
        <w:keepNext w:val="false"/>
        <w:keepLines w:val="false"/>
        <w:widowControl w:val="false"/>
        <w:shd w:val="clear" w:fill="auto"/>
        <w:spacing w:lineRule="auto" w:line="240" w:before="31" w:after="0"/>
        <w:ind w:hanging="0" w:left="720" w:right="0"/>
        <w:jc w:val="center"/>
        <w:rPr>
          <w:sz w:val="20"/>
          <w:szCs w:val="20"/>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____________________________</w:t>
      </w:r>
    </w:p>
    <w:p>
      <w:pPr>
        <w:pStyle w:val="LO-normal"/>
        <w:widowControl w:val="false"/>
        <w:shd w:val="clear" w:fill="auto"/>
        <w:spacing w:lineRule="auto" w:line="240" w:before="31" w:after="0"/>
        <w:ind w:hanging="0" w:left="720" w:right="0"/>
        <w:jc w:val="center"/>
        <w:rPr>
          <w:sz w:val="20"/>
          <w:szCs w:val="20"/>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Danilo Chulik</w:t>
      </w:r>
    </w:p>
    <w:p>
      <w:pPr>
        <w:pStyle w:val="LO-normal"/>
        <w:widowControl w:val="false"/>
        <w:shd w:val="clear" w:fill="auto"/>
        <w:spacing w:lineRule="auto" w:line="240" w:before="31" w:after="0"/>
        <w:ind w:hanging="0" w:left="720" w:right="0"/>
        <w:jc w:val="center"/>
        <w:rPr>
          <w:sz w:val="20"/>
          <w:szCs w:val="20"/>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 xml:space="preserve">Diretor de Departamento de Apoio Operacional de Urgência e Emergência </w:t>
      </w:r>
    </w:p>
    <w:p>
      <w:pPr>
        <w:pStyle w:val="LO-normal"/>
        <w:widowControl w:val="false"/>
        <w:shd w:val="clear" w:fill="auto"/>
        <w:spacing w:lineRule="auto" w:line="240" w:before="31" w:after="0"/>
        <w:ind w:hanging="0" w:left="720" w:right="0"/>
        <w:jc w:val="center"/>
        <w:rPr>
          <w:sz w:val="20"/>
          <w:szCs w:val="20"/>
        </w:rPr>
      </w:pPr>
      <w:r>
        <w:rPr>
          <w:sz w:val="20"/>
          <w:szCs w:val="20"/>
        </w:rPr>
      </w:r>
    </w:p>
    <w:p>
      <w:pPr>
        <w:pStyle w:val="LO-normal"/>
        <w:widowControl w:val="false"/>
        <w:shd w:val="clear" w:fill="auto"/>
        <w:spacing w:lineRule="auto" w:line="240" w:before="31" w:after="0"/>
        <w:ind w:hanging="0" w:left="720" w:right="0"/>
        <w:jc w:val="center"/>
        <w:rPr>
          <w:sz w:val="20"/>
          <w:szCs w:val="20"/>
        </w:rPr>
      </w:pPr>
      <w:r>
        <w:rPr>
          <w:sz w:val="20"/>
          <w:szCs w:val="20"/>
        </w:rPr>
      </w:r>
    </w:p>
    <w:p>
      <w:pPr>
        <w:pStyle w:val="LO-normal"/>
        <w:keepNext w:val="false"/>
        <w:keepLines w:val="false"/>
        <w:pageBreakBefore w:val="false"/>
        <w:widowControl w:val="false"/>
        <w:shd w:val="clear" w:fill="auto"/>
        <w:spacing w:lineRule="auto" w:line="240" w:before="31" w:after="0"/>
        <w:ind w:hanging="0" w:left="720" w:right="0"/>
        <w:jc w:val="center"/>
        <w:rPr>
          <w:sz w:val="20"/>
          <w:szCs w:val="20"/>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____________________________</w:t>
      </w:r>
    </w:p>
    <w:p>
      <w:pPr>
        <w:pStyle w:val="LO-normal"/>
        <w:widowControl w:val="false"/>
        <w:shd w:val="clear" w:fill="auto"/>
        <w:spacing w:lineRule="auto" w:line="240" w:before="31" w:after="0"/>
        <w:ind w:hanging="0" w:left="720" w:right="0"/>
        <w:jc w:val="center"/>
        <w:rPr>
          <w:sz w:val="20"/>
          <w:szCs w:val="20"/>
        </w:rPr>
      </w:pPr>
      <w:r>
        <w:rPr>
          <w:rFonts w:eastAsia="Arial" w:cs="Arial"/>
          <w:b w:val="false"/>
          <w:i w:val="false"/>
          <w:caps w:val="false"/>
          <w:smallCaps w:val="false"/>
          <w:strike w:val="false"/>
          <w:dstrike w:val="false"/>
          <w:color w:val="000000"/>
          <w:position w:val="0"/>
          <w:sz w:val="20"/>
          <w:sz w:val="20"/>
          <w:szCs w:val="20"/>
          <w:u w:val="none"/>
          <w:shd w:fill="auto" w:val="clear"/>
          <w:vertAlign w:val="baseline"/>
        </w:rPr>
        <w:t>Thiago Vicente Ferreira</w:t>
      </w:r>
    </w:p>
    <w:p>
      <w:pPr>
        <w:pStyle w:val="LO-normal"/>
        <w:widowControl w:val="false"/>
        <w:shd w:val="clear" w:fill="auto"/>
        <w:spacing w:lineRule="auto" w:line="240" w:before="31" w:after="0"/>
        <w:ind w:hanging="0" w:left="720" w:right="0"/>
        <w:jc w:val="center"/>
        <w:rPr>
          <w:sz w:val="20"/>
          <w:szCs w:val="20"/>
        </w:rPr>
      </w:pPr>
      <w:bookmarkStart w:id="4" w:name="__DdeLink__1026_3465730124"/>
      <w:r>
        <w:rPr>
          <w:rFonts w:eastAsia="Arial" w:cs="Arial"/>
          <w:b w:val="false"/>
          <w:i w:val="false"/>
          <w:caps w:val="false"/>
          <w:smallCaps w:val="false"/>
          <w:strike w:val="false"/>
          <w:dstrike w:val="false"/>
          <w:color w:val="000000"/>
          <w:position w:val="0"/>
          <w:sz w:val="20"/>
          <w:sz w:val="20"/>
          <w:szCs w:val="20"/>
          <w:u w:val="none"/>
          <w:shd w:fill="auto" w:val="clear"/>
          <w:vertAlign w:val="baseline"/>
        </w:rPr>
        <w:t>Diretor de Departamanto de Pronto Atendimento</w:t>
      </w:r>
      <w:bookmarkEnd w:id="4"/>
    </w:p>
    <w:p>
      <w:pPr>
        <w:sectPr>
          <w:type w:val="continuous"/>
          <w:pgSz w:w="11906" w:h="16838"/>
          <w:pgMar w:left="893" w:right="1098" w:gutter="0" w:header="0" w:top="453" w:footer="0" w:bottom="1529"/>
          <w:cols w:num="2" w:space="282" w:equalWidth="true" w:sep="false"/>
          <w:formProt w:val="false"/>
          <w:textDirection w:val="lrTb"/>
          <w:docGrid w:type="default" w:linePitch="100" w:charSpace="0"/>
        </w:sectPr>
      </w:pPr>
    </w:p>
    <w:p>
      <w:pPr>
        <w:pStyle w:val="LO-normal"/>
        <w:rPr/>
      </w:pPr>
      <w:r>
        <w:rPr/>
      </w:r>
    </w:p>
    <w:sectPr>
      <w:type w:val="continuous"/>
      <w:pgSz w:w="11906" w:h="16838"/>
      <w:pgMar w:left="893" w:right="1098" w:gutter="0" w:header="0" w:top="453" w:footer="0" w:bottom="1529"/>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swiss"/>
    <w:pitch w:val="variable"/>
  </w:font>
  <w:font w:name="Liberation Sans">
    <w:altName w:val="Arial"/>
    <w:charset w:val="01"/>
    <w:family w:val="auto"/>
    <w:pitch w:val="variable"/>
  </w:font>
  <w:font w:name="Georgia">
    <w:charset w:val="01"/>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LO-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LO-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LO-normal"/>
      <w:rPr/>
    </w:pPr>
    <w:r>
      <w:rPr/>
      <w:drawing>
        <wp:anchor behindDoc="1" distT="0" distB="0" distL="0" distR="0" simplePos="0" locked="0" layoutInCell="1" allowOverlap="1" relativeHeight="22">
          <wp:simplePos x="0" y="0"/>
          <wp:positionH relativeFrom="column">
            <wp:posOffset>-571500</wp:posOffset>
          </wp:positionH>
          <wp:positionV relativeFrom="paragraph">
            <wp:posOffset>-66675</wp:posOffset>
          </wp:positionV>
          <wp:extent cx="7620000" cy="2231390"/>
          <wp:effectExtent l="0" t="0" r="0" b="0"/>
          <wp:wrapNone/>
          <wp:docPr id="1" name="image1.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descr=""/>
                  <pic:cNvPicPr>
                    <a:picLocks noChangeAspect="1" noChangeArrowheads="1"/>
                  </pic:cNvPicPr>
                </pic:nvPicPr>
                <pic:blipFill>
                  <a:blip r:embed="rId1"/>
                  <a:stretch>
                    <a:fillRect/>
                  </a:stretch>
                </pic:blipFill>
                <pic:spPr bwMode="auto">
                  <a:xfrm>
                    <a:off x="0" y="0"/>
                    <a:ext cx="7620000" cy="2231390"/>
                  </a:xfrm>
                  <a:prstGeom prst="rect">
                    <a:avLst/>
                  </a:prstGeom>
                  <a:noFill/>
                </pic:spPr>
              </pic:pic>
            </a:graphicData>
          </a:graphic>
        </wp:anchor>
      </w:drawing>
    </w:r>
  </w:p>
  <w:p>
    <w:pPr>
      <w:pStyle w:val="LO-normal"/>
      <w:rPr/>
    </w:pPr>
    <w:r>
      <w:rPr/>
    </w:r>
  </w:p>
  <w:p>
    <w:pPr>
      <w:pStyle w:val="LO-normal"/>
      <w:rPr/>
    </w:pPr>
    <w:r>
      <w:rPr/>
    </w:r>
  </w:p>
  <w:p>
    <w:pPr>
      <w:pStyle w:val="LO-normal"/>
      <w:rPr/>
    </w:pPr>
    <w:r>
      <w:rPr/>
    </w:r>
  </w:p>
  <w:p>
    <w:pPr>
      <w:pStyle w:val="LO-normal"/>
      <w:rPr/>
    </w:pPr>
    <w:r>
      <w:rPr/>
    </w:r>
  </w:p>
  <w:p>
    <w:pPr>
      <w:pStyle w:val="LO-normal"/>
      <w:rPr/>
    </w:pPr>
    <w:r>
      <w:rPr/>
    </w:r>
  </w:p>
  <w:p>
    <w:pPr>
      <w:pStyle w:val="LO-normal"/>
      <w:rPr/>
    </w:pPr>
    <w:r>
      <w:rPr/>
    </w:r>
  </w:p>
  <w:p>
    <w:pPr>
      <w:pStyle w:val="LO-normal"/>
      <w:rPr/>
    </w:pPr>
    <w:r>
      <w:rPr/>
    </w:r>
  </w:p>
  <w:p>
    <w:pPr>
      <w:pStyle w:val="LO-normal"/>
      <w:rPr/>
    </w:pPr>
    <w:r>
      <w:rPr/>
    </w:r>
  </w:p>
  <w:p>
    <w:pPr>
      <w:pStyle w:val="LO-normal"/>
      <w:rPr/>
    </w:pPr>
    <w:r>
      <w:rPr/>
    </w:r>
  </w:p>
  <w:p>
    <w:pPr>
      <w:pStyle w:val="LO-normal"/>
      <w:rPr/>
    </w:pPr>
    <w:r>
      <w:rPr/>
    </w:r>
  </w:p>
  <w:p>
    <w:pPr>
      <w:pStyle w:val="LO-normal"/>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LO-normal"/>
      <w:rPr/>
    </w:pPr>
    <w:r>
      <w:rPr/>
      <w:drawing>
        <wp:anchor behindDoc="1" distT="0" distB="0" distL="0" distR="0" simplePos="0" locked="0" layoutInCell="1" allowOverlap="1" relativeHeight="22">
          <wp:simplePos x="0" y="0"/>
          <wp:positionH relativeFrom="column">
            <wp:posOffset>-571500</wp:posOffset>
          </wp:positionH>
          <wp:positionV relativeFrom="paragraph">
            <wp:posOffset>-66675</wp:posOffset>
          </wp:positionV>
          <wp:extent cx="7620000" cy="2231390"/>
          <wp:effectExtent l="0" t="0" r="0" b="0"/>
          <wp:wrapNone/>
          <wp:docPr id="2" name="image1.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g" descr=""/>
                  <pic:cNvPicPr>
                    <a:picLocks noChangeAspect="1" noChangeArrowheads="1"/>
                  </pic:cNvPicPr>
                </pic:nvPicPr>
                <pic:blipFill>
                  <a:blip r:embed="rId1"/>
                  <a:stretch>
                    <a:fillRect/>
                  </a:stretch>
                </pic:blipFill>
                <pic:spPr bwMode="auto">
                  <a:xfrm>
                    <a:off x="0" y="0"/>
                    <a:ext cx="7620000" cy="2231390"/>
                  </a:xfrm>
                  <a:prstGeom prst="rect">
                    <a:avLst/>
                  </a:prstGeom>
                  <a:noFill/>
                </pic:spPr>
              </pic:pic>
            </a:graphicData>
          </a:graphic>
        </wp:anchor>
      </w:drawing>
    </w:r>
  </w:p>
  <w:p>
    <w:pPr>
      <w:pStyle w:val="LO-normal"/>
      <w:rPr/>
    </w:pPr>
    <w:r>
      <w:rPr/>
    </w:r>
  </w:p>
  <w:p>
    <w:pPr>
      <w:pStyle w:val="LO-normal"/>
      <w:rPr/>
    </w:pPr>
    <w:r>
      <w:rPr/>
    </w:r>
  </w:p>
  <w:p>
    <w:pPr>
      <w:pStyle w:val="LO-normal"/>
      <w:rPr/>
    </w:pPr>
    <w:r>
      <w:rPr/>
    </w:r>
  </w:p>
  <w:p>
    <w:pPr>
      <w:pStyle w:val="LO-normal"/>
      <w:rPr/>
    </w:pPr>
    <w:r>
      <w:rPr/>
    </w:r>
  </w:p>
  <w:p>
    <w:pPr>
      <w:pStyle w:val="LO-normal"/>
      <w:rPr/>
    </w:pPr>
    <w:r>
      <w:rPr/>
    </w:r>
  </w:p>
  <w:p>
    <w:pPr>
      <w:pStyle w:val="LO-normal"/>
      <w:rPr/>
    </w:pPr>
    <w:r>
      <w:rPr/>
    </w:r>
  </w:p>
  <w:p>
    <w:pPr>
      <w:pStyle w:val="LO-normal"/>
      <w:rPr/>
    </w:pPr>
    <w:r>
      <w:rPr/>
    </w:r>
  </w:p>
  <w:p>
    <w:pPr>
      <w:pStyle w:val="LO-normal"/>
      <w:rPr/>
    </w:pPr>
    <w:r>
      <w:rPr/>
    </w:r>
  </w:p>
  <w:p>
    <w:pPr>
      <w:pStyle w:val="LO-normal"/>
      <w:rPr/>
    </w:pPr>
    <w:r>
      <w:rPr/>
    </w:r>
  </w:p>
  <w:p>
    <w:pPr>
      <w:pStyle w:val="LO-normal"/>
      <w:rPr/>
    </w:pPr>
    <w:r>
      <w:rPr/>
    </w:r>
  </w:p>
  <w:p>
    <w:pPr>
      <w:pStyle w:val="LO-normal"/>
      <w:rPr/>
    </w:pPr>
    <w:r>
      <w:rPr/>
    </w:r>
  </w:p>
</w:hdr>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pt-BR" w:eastAsia="zh-CN" w:bidi="hi-IN"/>
      </w:rPr>
    </w:rPrDefault>
    <w:pPrDefault>
      <w:pPr>
        <w:suppressAutoHyphens w:val="true"/>
      </w:pPr>
    </w:pPrDefault>
  </w:docDefaults>
  <w:style w:type="paragraph" w:styleId="Normal">
    <w:name w:val="Normal"/>
    <w:qFormat/>
    <w:pPr>
      <w:widowControl/>
      <w:suppressAutoHyphens w:val="true"/>
      <w:bidi w:val="0"/>
      <w:spacing w:lineRule="auto" w:line="276" w:before="0" w:after="0"/>
      <w:jc w:val="left"/>
    </w:pPr>
    <w:rPr>
      <w:rFonts w:ascii="Arial" w:hAnsi="Arial" w:eastAsia="Arial" w:cs="Arial"/>
      <w:color w:val="auto"/>
      <w:kern w:val="0"/>
      <w:sz w:val="22"/>
      <w:szCs w:val="22"/>
      <w:lang w:val="pt-BR" w:eastAsia="zh-CN" w:bidi="hi-IN"/>
    </w:rPr>
  </w:style>
  <w:style w:type="paragraph" w:styleId="Heading1">
    <w:name w:val="heading 1"/>
    <w:basedOn w:val="LO-normal"/>
    <w:next w:val="LO-normal"/>
    <w:qFormat/>
    <w:pPr>
      <w:keepNext w:val="true"/>
      <w:keepLines/>
      <w:pageBreakBefore w:val="false"/>
      <w:spacing w:lineRule="auto" w:line="240" w:before="480" w:after="120"/>
    </w:pPr>
    <w:rPr>
      <w:b/>
      <w:sz w:val="48"/>
      <w:szCs w:val="48"/>
    </w:rPr>
  </w:style>
  <w:style w:type="paragraph" w:styleId="Heading2">
    <w:name w:val="heading 2"/>
    <w:basedOn w:val="LO-normal"/>
    <w:next w:val="LO-normal"/>
    <w:qFormat/>
    <w:pPr>
      <w:keepNext w:val="true"/>
      <w:keepLines/>
      <w:pageBreakBefore w:val="false"/>
      <w:spacing w:lineRule="auto" w:line="240" w:before="360" w:after="80"/>
    </w:pPr>
    <w:rPr>
      <w:b/>
      <w:sz w:val="36"/>
      <w:szCs w:val="36"/>
    </w:rPr>
  </w:style>
  <w:style w:type="paragraph" w:styleId="Heading3">
    <w:name w:val="heading 3"/>
    <w:basedOn w:val="LO-normal"/>
    <w:next w:val="LO-normal"/>
    <w:qFormat/>
    <w:pPr>
      <w:keepNext w:val="true"/>
      <w:keepLines/>
      <w:pageBreakBefore w:val="false"/>
      <w:spacing w:lineRule="auto" w:line="240" w:before="280" w:after="80"/>
    </w:pPr>
    <w:rPr>
      <w:b/>
      <w:sz w:val="28"/>
      <w:szCs w:val="28"/>
    </w:rPr>
  </w:style>
  <w:style w:type="paragraph" w:styleId="Heading4">
    <w:name w:val="heading 4"/>
    <w:basedOn w:val="LO-normal"/>
    <w:next w:val="LO-normal"/>
    <w:qFormat/>
    <w:pPr>
      <w:keepNext w:val="true"/>
      <w:keepLines/>
      <w:pageBreakBefore w:val="false"/>
      <w:spacing w:lineRule="auto" w:line="240" w:before="240" w:after="40"/>
    </w:pPr>
    <w:rPr>
      <w:b/>
      <w:sz w:val="24"/>
      <w:szCs w:val="24"/>
    </w:rPr>
  </w:style>
  <w:style w:type="paragraph" w:styleId="Heading5">
    <w:name w:val="heading 5"/>
    <w:basedOn w:val="LO-normal"/>
    <w:next w:val="LO-normal"/>
    <w:qFormat/>
    <w:pPr>
      <w:keepNext w:val="true"/>
      <w:keepLines/>
      <w:pageBreakBefore w:val="false"/>
      <w:spacing w:lineRule="auto" w:line="240" w:before="220" w:after="40"/>
    </w:pPr>
    <w:rPr>
      <w:b/>
      <w:sz w:val="22"/>
      <w:szCs w:val="22"/>
    </w:rPr>
  </w:style>
  <w:style w:type="paragraph" w:styleId="Heading6">
    <w:name w:val="heading 6"/>
    <w:basedOn w:val="LO-normal"/>
    <w:next w:val="LO-normal"/>
    <w:qFormat/>
    <w:pPr>
      <w:keepNext w:val="true"/>
      <w:keepLines/>
      <w:pageBreakBefore w:val="false"/>
      <w:spacing w:lineRule="auto" w:line="240" w:before="200" w:after="40"/>
    </w:pPr>
    <w:rPr>
      <w:b/>
      <w:sz w:val="20"/>
      <w:szCs w:val="20"/>
    </w:rPr>
  </w:style>
  <w:style w:type="paragraph" w:styleId="Ttulo">
    <w:name w:val="Título"/>
    <w:basedOn w:val="normal1"/>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1"/>
    <w:pPr>
      <w:spacing w:lineRule="auto" w:line="276" w:before="0" w:after="140"/>
    </w:pPr>
    <w:rPr/>
  </w:style>
  <w:style w:type="paragraph" w:styleId="List">
    <w:name w:val="List"/>
    <w:basedOn w:val="BodyText"/>
    <w:pPr/>
    <w:rPr>
      <w:rFonts w:cs="Lohit Devanagari"/>
    </w:rPr>
  </w:style>
  <w:style w:type="paragraph" w:styleId="Caption">
    <w:name w:val="caption"/>
    <w:basedOn w:val="normal1"/>
    <w:qFormat/>
    <w:pPr>
      <w:suppressLineNumbers/>
      <w:spacing w:before="120" w:after="120"/>
    </w:pPr>
    <w:rPr>
      <w:rFonts w:cs="Lohit Devanagari"/>
      <w:i/>
      <w:iCs/>
      <w:sz w:val="24"/>
      <w:szCs w:val="24"/>
    </w:rPr>
  </w:style>
  <w:style w:type="paragraph" w:styleId="ndice">
    <w:name w:val="Índice"/>
    <w:basedOn w:val="normal1"/>
    <w:qFormat/>
    <w:pPr>
      <w:suppressLineNumbers/>
    </w:pPr>
    <w:rPr>
      <w:rFonts w:cs="Lohit Devanagari"/>
      <w:lang w:val="zxx" w:eastAsia="zxx" w:bidi="zxx"/>
    </w:rPr>
  </w:style>
  <w:style w:type="paragraph" w:styleId="normal1" w:default="1">
    <w:name w:val="normal1"/>
    <w:qFormat/>
    <w:pPr>
      <w:widowControl/>
      <w:suppressAutoHyphens w:val="true"/>
      <w:bidi w:val="0"/>
      <w:spacing w:lineRule="auto" w:line="276" w:before="0" w:after="0"/>
      <w:jc w:val="left"/>
    </w:pPr>
    <w:rPr>
      <w:rFonts w:ascii="Arial" w:hAnsi="Arial" w:eastAsia="Arial" w:cs="Arial"/>
      <w:color w:val="auto"/>
      <w:kern w:val="0"/>
      <w:sz w:val="22"/>
      <w:szCs w:val="22"/>
      <w:lang w:val="pt-BR" w:eastAsia="zh-CN" w:bidi="hi-IN"/>
    </w:rPr>
  </w:style>
  <w:style w:type="paragraph" w:styleId="Title">
    <w:name w:val="Title"/>
    <w:basedOn w:val="LO-normal"/>
    <w:next w:val="LO-normal"/>
    <w:qFormat/>
    <w:pPr>
      <w:keepNext w:val="true"/>
      <w:keepLines/>
      <w:pageBreakBefore w:val="false"/>
      <w:spacing w:lineRule="auto" w:line="240" w:before="480" w:after="120"/>
    </w:pPr>
    <w:rPr>
      <w:b/>
      <w:sz w:val="72"/>
      <w:szCs w:val="72"/>
    </w:rPr>
  </w:style>
  <w:style w:type="paragraph" w:styleId="LO-normal" w:default="1">
    <w:name w:val="LO-normal"/>
    <w:qFormat/>
    <w:pPr>
      <w:widowControl/>
      <w:suppressAutoHyphens w:val="true"/>
      <w:bidi w:val="0"/>
      <w:spacing w:lineRule="auto" w:line="276" w:before="0" w:after="0"/>
      <w:jc w:val="left"/>
    </w:pPr>
    <w:rPr>
      <w:rFonts w:ascii="Arial" w:hAnsi="Arial" w:eastAsia="Arial" w:cs="Arial"/>
      <w:color w:val="auto"/>
      <w:kern w:val="0"/>
      <w:sz w:val="22"/>
      <w:szCs w:val="22"/>
      <w:lang w:val="pt-BR" w:eastAsia="zh-CN" w:bidi="hi-IN"/>
    </w:rPr>
  </w:style>
  <w:style w:type="paragraph" w:styleId="Subtitle">
    <w:name w:val="Subtitle"/>
    <w:basedOn w:val="normal1"/>
    <w:next w:val="normal1"/>
    <w:qFormat/>
    <w:pPr>
      <w:keepNext w:val="true"/>
      <w:keepLines/>
      <w:pageBreakBefore w:val="false"/>
      <w:widowControl/>
      <w:shd w:val="clear" w:fill="auto"/>
      <w:spacing w:lineRule="auto" w:line="240" w:before="360" w:after="80"/>
      <w:ind w:hanging="0" w:left="0" w:right="0"/>
      <w:jc w:val="left"/>
    </w:pPr>
    <w:rPr>
      <w:rFonts w:ascii="Georgia" w:hAnsi="Georgia" w:eastAsia="Georgia" w:cs="Georgia"/>
      <w:b w:val="false"/>
      <w:i/>
      <w:caps w:val="false"/>
      <w:smallCaps w:val="false"/>
      <w:strike w:val="false"/>
      <w:dstrike w:val="false"/>
      <w:color w:val="666666"/>
      <w:position w:val="0"/>
      <w:sz w:val="48"/>
      <w:sz w:val="48"/>
      <w:szCs w:val="48"/>
      <w:u w:val="none"/>
      <w:shd w:fill="auto" w:val="clear"/>
      <w:vertAlign w:val="baseline"/>
    </w:rPr>
  </w:style>
  <w:style w:type="paragraph" w:styleId="CabealhoeRodap">
    <w:name w:val="Cabeçalho e Rodapé"/>
    <w:basedOn w:val="normal1"/>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Header">
    <w:name w:val="header"/>
    <w:basedOn w:val="CabealhoeRodap"/>
    <w:pPr/>
    <w:rPr/>
  </w:style>
  <w:style w:type="paragraph" w:styleId="Contedodatabela">
    <w:name w:val="Conteúdo da tabela"/>
    <w:basedOn w:val="normal1"/>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Footer">
    <w:name w:val="footer"/>
    <w:basedOn w:val="Cabealhoerodap1"/>
    <w:pPr/>
    <w:rPr/>
  </w:style>
  <w:style w:type="table" w:default="1" w:styleId="TableNormal">
    <w:name w:val="TableNormal"/>
  </w:style>
  <w:style w:type="table" w:default="1" w:styleId="TableNormal">
    <w:name w:val="Table Normal"/>
  </w:style>
  <w:style w:type="table" w:default="1" w:styleId="TableNormal">
    <w:name w:val="Table Normal"/>
  </w:style>
  <w:style w:type="table" w:default="1" w:styleId="TableNormal">
    <w:name w:val="Table Normal"/>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VjmJgFFXWyURx/1VX9+YjUYFOpw==">CgMxLjAaHwoBMBIaChgICVIUChJ0YWJsZS4xbGRybGFvMDdhYmY4AHIhMTZlMkdIUVZ5bk5CcUc5V1B4WnpRWUVqeHBNQzlDbXNB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300</TotalTime>
  <Application>LibreOffice/24.8.4.2$Linux_X86_64 LibreOffice_project/480$Build-2</Application>
  <AppVersion>15.0000</AppVersion>
  <Pages>21</Pages>
  <Words>5353</Words>
  <Characters>30874</Characters>
  <CharactersWithSpaces>36160</CharactersWithSpaces>
  <Paragraphs>210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2025-10-02T08:01:06Z</cp:lastPrinted>
  <dcterms:modified xsi:type="dcterms:W3CDTF">2025-10-24T11:56:38Z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